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after="100" w:afterAutospacing="1" w:line="360" w:lineRule="auto"/>
        <w:jc w:val="center"/>
        <w:rPr>
          <w:rFonts w:ascii="宋体" w:hAnsi="宋体" w:eastAsia="宋体"/>
          <w:b/>
          <w:sz w:val="24"/>
        </w:rPr>
      </w:pPr>
      <w:bookmarkStart w:id="4" w:name="_GoBack"/>
      <w:bookmarkEnd w:id="4"/>
      <w:bookmarkStart w:id="0" w:name="OLE_LINK1"/>
      <w:bookmarkStart w:id="1" w:name="OLE_LINK3"/>
      <w:r>
        <w:rPr>
          <w:rFonts w:hint="eastAsia" w:ascii="宋体" w:hAnsi="宋体" w:eastAsia="宋体"/>
          <w:b/>
          <w:sz w:val="32"/>
        </w:rPr>
        <w:t>马来西亚拉曼大学</w:t>
      </w:r>
      <w:r>
        <w:rPr>
          <w:rFonts w:hint="eastAsia" w:ascii="宋体" w:hAnsi="宋体" w:eastAsia="宋体"/>
          <w:b/>
          <w:sz w:val="32"/>
          <w:lang w:val="en-US" w:eastAsia="zh-CN"/>
        </w:rPr>
        <w:t>寒假语言文化研修</w:t>
      </w:r>
      <w:r>
        <w:rPr>
          <w:rFonts w:hint="eastAsia" w:ascii="宋体" w:hAnsi="宋体" w:eastAsia="宋体"/>
          <w:b/>
          <w:sz w:val="32"/>
        </w:rPr>
        <w:t>项目</w:t>
      </w:r>
      <w:bookmarkEnd w:id="0"/>
    </w:p>
    <w:p>
      <w:pPr>
        <w:spacing w:line="360" w:lineRule="auto"/>
        <w:ind w:firstLine="440"/>
        <w:rPr>
          <w:rFonts w:hint="eastAsia"/>
          <w:shd w:val="clear" w:color="auto" w:fill="FFFFFF"/>
          <w:lang w:val="en-US" w:eastAsia="zh-CN" w:bidi="ar"/>
        </w:rPr>
      </w:pPr>
      <w:bookmarkStart w:id="2" w:name="OLE_LINK2"/>
      <w:r>
        <w:rPr>
          <w:rFonts w:hint="eastAsia" w:ascii="宋体" w:hAnsi="宋体" w:eastAsia="宋体"/>
          <w:sz w:val="22"/>
          <w:lang w:val="en-US" w:eastAsia="zh-CN"/>
        </w:rPr>
        <w:t>马来西亚是一个自然资源、文化遗产丰富、种族多元的国度，每年都吸引无数来自世界各地的游客前来观光。此</w:t>
      </w:r>
      <w:r>
        <w:rPr>
          <w:shd w:val="clear" w:color="auto" w:fill="FFFFFF"/>
          <w:lang w:bidi="ar"/>
        </w:rPr>
        <w:t>外，</w:t>
      </w:r>
      <w:r>
        <w:rPr>
          <w:rFonts w:hint="eastAsia"/>
          <w:shd w:val="clear" w:color="auto" w:fill="FFFFFF"/>
          <w:lang w:val="en-US" w:eastAsia="zh-CN" w:bidi="ar"/>
        </w:rPr>
        <w:t>有着“亚洲魅力所在”的</w:t>
      </w:r>
      <w:r>
        <w:rPr>
          <w:shd w:val="clear" w:color="auto" w:fill="FFFFFF"/>
          <w:lang w:bidi="ar"/>
        </w:rPr>
        <w:t>马来西亚</w:t>
      </w:r>
      <w:r>
        <w:rPr>
          <w:rFonts w:hint="eastAsia"/>
          <w:shd w:val="clear" w:color="auto" w:fill="FFFFFF"/>
          <w:lang w:eastAsia="zh-CN" w:bidi="ar"/>
        </w:rPr>
        <w:t>，</w:t>
      </w:r>
      <w:r>
        <w:rPr>
          <w:rFonts w:hint="eastAsia"/>
          <w:shd w:val="clear" w:color="auto" w:fill="FFFFFF"/>
          <w:lang w:val="en-US" w:eastAsia="zh-CN" w:bidi="ar"/>
        </w:rPr>
        <w:t>其教育也取得了举世瞩目的发展。马来西亚</w:t>
      </w:r>
      <w:r>
        <w:rPr>
          <w:shd w:val="clear" w:color="auto" w:fill="FFFFFF"/>
          <w:lang w:bidi="ar"/>
        </w:rPr>
        <w:t>高等教育国际化</w:t>
      </w:r>
      <w:r>
        <w:rPr>
          <w:rFonts w:hint="eastAsia"/>
          <w:shd w:val="clear" w:color="auto" w:fill="FFFFFF"/>
          <w:lang w:val="en-US" w:eastAsia="zh-CN" w:bidi="ar"/>
        </w:rPr>
        <w:t>的</w:t>
      </w:r>
      <w:r>
        <w:rPr>
          <w:shd w:val="clear" w:color="auto" w:fill="FFFFFF"/>
          <w:lang w:bidi="ar"/>
        </w:rPr>
        <w:t>愈趋成熟，</w:t>
      </w:r>
      <w:r>
        <w:rPr>
          <w:rFonts w:hint="eastAsia"/>
          <w:shd w:val="clear" w:color="auto" w:fill="FFFFFF"/>
          <w:lang w:val="en-US" w:eastAsia="zh-CN" w:bidi="ar"/>
        </w:rPr>
        <w:t>更是</w:t>
      </w:r>
      <w:r>
        <w:rPr>
          <w:shd w:val="clear" w:color="auto" w:fill="FFFFFF"/>
          <w:lang w:bidi="ar"/>
        </w:rPr>
        <w:t>吸引了超过8万名分别来自多达150个不同国家的国际留学生慕名前来深造。</w:t>
      </w:r>
      <w:r>
        <w:rPr>
          <w:rFonts w:hint="eastAsia"/>
          <w:shd w:val="clear" w:color="auto" w:fill="FFFFFF"/>
          <w:lang w:val="en-US" w:eastAsia="zh-CN" w:bidi="ar"/>
        </w:rPr>
        <w:t>高校所提供的课程有质量保证，且全英文授课非常普遍。英语作为马来西亚的通用语言，让前来学习的学子更是拥有一个良好的语言环境。</w:t>
      </w:r>
    </w:p>
    <w:p>
      <w:pPr>
        <w:pStyle w:val="4"/>
        <w:spacing w:before="0" w:beforeAutospacing="0" w:after="0" w:afterAutospacing="0" w:line="360" w:lineRule="auto"/>
        <w:ind w:firstLine="440"/>
        <w:jc w:val="both"/>
        <w:rPr>
          <w:rFonts w:hint="eastAsia" w:ascii="Arial" w:hAnsi="Arial" w:cs="Arial" w:eastAsiaTheme="minorEastAsia"/>
          <w:color w:val="000000"/>
          <w:sz w:val="22"/>
          <w:szCs w:val="22"/>
          <w:shd w:val="clear" w:color="auto" w:fill="FFFFFF"/>
          <w:lang w:val="en-US" w:eastAsia="zh-CN" w:bidi="ar"/>
        </w:rPr>
      </w:pPr>
      <w:r>
        <w:rPr>
          <w:rFonts w:hint="eastAsia" w:ascii="宋体" w:hAnsi="宋体" w:eastAsia="宋体" w:cs="Arial"/>
          <w:color w:val="000000"/>
          <w:sz w:val="22"/>
          <w:szCs w:val="22"/>
          <w:lang w:val="en-US" w:eastAsia="zh-CN" w:bidi="ar-SA"/>
        </w:rPr>
        <w:t>深圳云为教育科技有限公司携手马来西亚拉曼大学</w:t>
      </w:r>
      <w:r>
        <w:rPr>
          <w:rFonts w:hint="default" w:ascii="Times New Roman" w:hAnsi="Times New Roman" w:eastAsia="宋体" w:cs="Times New Roman"/>
          <w:color w:val="000000"/>
          <w:sz w:val="22"/>
          <w:szCs w:val="22"/>
          <w:lang w:val="en-US" w:eastAsia="zh-CN" w:bidi="ar-SA"/>
        </w:rPr>
        <w:t>Universiti Tunku Abdul Rhaman</w:t>
      </w:r>
      <w:r>
        <w:rPr>
          <w:rFonts w:hint="eastAsia" w:ascii="Times New Roman" w:hAnsi="Times New Roman" w:eastAsia="宋体" w:cs="Times New Roman"/>
          <w:color w:val="000000"/>
          <w:sz w:val="22"/>
          <w:szCs w:val="22"/>
          <w:lang w:val="en-US" w:eastAsia="zh-CN" w:bidi="ar-SA"/>
        </w:rPr>
        <w:t xml:space="preserve"> (简称UTAR)</w:t>
      </w:r>
      <w:r>
        <w:rPr>
          <w:rFonts w:hint="eastAsia" w:ascii="宋体" w:hAnsi="宋体" w:eastAsia="宋体" w:cs="Arial"/>
          <w:color w:val="000000"/>
          <w:sz w:val="22"/>
          <w:szCs w:val="22"/>
          <w:lang w:val="en-US" w:eastAsia="zh-CN" w:bidi="ar-SA"/>
        </w:rPr>
        <w:t>（</w:t>
      </w:r>
      <w:r>
        <w:rPr>
          <w:rFonts w:hint="eastAsia" w:ascii="宋体" w:hAnsi="宋体" w:eastAsia="宋体" w:cs="Arial"/>
          <w:b/>
          <w:bCs/>
          <w:color w:val="000000"/>
          <w:sz w:val="16"/>
          <w:szCs w:val="16"/>
          <w:lang w:val="en-US" w:eastAsia="zh-CN" w:bidi="ar-SA"/>
        </w:rPr>
        <w:t>2017年泰晤士高等教育亚洲大学排名111-120，马来西亚大学排名第二，私立大学排名第一，中国高校在其前有27所</w:t>
      </w:r>
      <w:r>
        <w:rPr>
          <w:rFonts w:hint="eastAsia" w:ascii="宋体" w:hAnsi="宋体" w:eastAsia="宋体" w:cs="Arial"/>
          <w:color w:val="000000"/>
          <w:sz w:val="22"/>
          <w:szCs w:val="22"/>
          <w:lang w:val="en-US" w:eastAsia="zh-CN" w:bidi="ar-SA"/>
        </w:rPr>
        <w:t>)联合开展2017年寒假游学项目，为希望体验国外顶尖高校学习、提升英语能力、强化</w:t>
      </w:r>
      <w:r>
        <w:rPr>
          <w:rFonts w:hint="eastAsia" w:ascii="Arial" w:hAnsi="Arial" w:cs="Arial" w:eastAsiaTheme="minorEastAsia"/>
          <w:color w:val="000000"/>
          <w:sz w:val="22"/>
          <w:szCs w:val="22"/>
          <w:shd w:val="clear" w:color="auto" w:fill="FFFFFF"/>
          <w:lang w:val="en-US" w:eastAsia="zh-CN" w:bidi="ar"/>
        </w:rPr>
        <w:t>跨文化理解</w:t>
      </w:r>
      <w:r>
        <w:rPr>
          <w:rFonts w:hint="eastAsia" w:ascii="Arial" w:hAnsi="Arial" w:cs="Arial"/>
          <w:color w:val="000000"/>
          <w:sz w:val="22"/>
          <w:szCs w:val="22"/>
          <w:shd w:val="clear" w:color="auto" w:fill="FFFFFF"/>
          <w:lang w:val="en-US" w:eastAsia="zh-CN" w:bidi="ar"/>
        </w:rPr>
        <w:t>、以及有海外升学计划</w:t>
      </w:r>
      <w:r>
        <w:rPr>
          <w:rFonts w:hint="eastAsia" w:ascii="Arial" w:hAnsi="Arial" w:cs="Arial" w:eastAsiaTheme="minorEastAsia"/>
          <w:color w:val="000000"/>
          <w:sz w:val="22"/>
          <w:szCs w:val="22"/>
          <w:shd w:val="clear" w:color="auto" w:fill="FFFFFF"/>
          <w:lang w:val="en-US" w:eastAsia="zh-CN" w:bidi="ar"/>
        </w:rPr>
        <w:t>的学子</w:t>
      </w:r>
      <w:r>
        <w:rPr>
          <w:rFonts w:hint="eastAsia" w:ascii="Arial" w:hAnsi="Arial" w:cs="Arial"/>
          <w:color w:val="000000"/>
          <w:sz w:val="22"/>
          <w:szCs w:val="22"/>
          <w:shd w:val="clear" w:color="auto" w:fill="FFFFFF"/>
          <w:lang w:val="en-US" w:eastAsia="zh-CN" w:bidi="ar"/>
        </w:rPr>
        <w:t>提供</w:t>
      </w:r>
      <w:r>
        <w:rPr>
          <w:rFonts w:hint="eastAsia" w:ascii="Arial" w:hAnsi="Arial" w:cs="Arial" w:eastAsiaTheme="minorEastAsia"/>
          <w:color w:val="000000"/>
          <w:sz w:val="22"/>
          <w:szCs w:val="22"/>
          <w:shd w:val="clear" w:color="auto" w:fill="FFFFFF"/>
          <w:lang w:val="en-US" w:eastAsia="zh-CN" w:bidi="ar"/>
        </w:rPr>
        <w:t>机会。（注：深圳云为教育科技有限公司是马来西亚拉曼大学在中国大陆的授权合作机构。）</w:t>
      </w:r>
    </w:p>
    <w:p>
      <w:pPr>
        <w:pStyle w:val="4"/>
        <w:spacing w:before="0" w:beforeAutospacing="0" w:after="0" w:afterAutospacing="0" w:line="360" w:lineRule="auto"/>
        <w:ind w:firstLine="440"/>
        <w:jc w:val="both"/>
        <w:rPr>
          <w:rFonts w:hint="eastAsia" w:ascii="宋体" w:hAnsi="宋体" w:eastAsia="宋体" w:cs="Arial"/>
          <w:i w:val="0"/>
          <w:iCs w:val="0"/>
          <w:color w:val="000000"/>
          <w:sz w:val="22"/>
          <w:szCs w:val="22"/>
          <w:lang w:val="en-US" w:eastAsia="zh-CN" w:bidi="ar-SA"/>
        </w:rPr>
      </w:pPr>
      <w:r>
        <w:rPr>
          <w:rFonts w:hint="eastAsia" w:ascii="Arial" w:hAnsi="Arial" w:cs="Arial"/>
          <w:i w:val="0"/>
          <w:iCs w:val="0"/>
          <w:color w:val="000000"/>
          <w:sz w:val="22"/>
          <w:szCs w:val="22"/>
          <w:shd w:val="clear" w:color="auto" w:fill="FFFFFF"/>
          <w:lang w:val="en-US" w:eastAsia="zh-CN" w:bidi="ar"/>
        </w:rPr>
        <w:t>拉曼大学亚洲排名请参考下面网址：</w:t>
      </w:r>
    </w:p>
    <w:p>
      <w:pPr>
        <w:pStyle w:val="4"/>
        <w:spacing w:before="0" w:beforeAutospacing="0" w:after="0" w:afterAutospacing="0" w:line="360" w:lineRule="auto"/>
        <w:ind w:leftChars="200"/>
        <w:jc w:val="both"/>
        <w:rPr>
          <w:rFonts w:hint="eastAsia" w:ascii="宋体" w:hAnsi="宋体" w:eastAsia="宋体" w:cs="Arial"/>
          <w:color w:val="000000"/>
          <w:sz w:val="22"/>
          <w:szCs w:val="22"/>
          <w:lang w:val="en-US" w:eastAsia="zh-CN" w:bidi="ar-SA"/>
        </w:rPr>
      </w:pPr>
      <w:r>
        <w:rPr>
          <w:rFonts w:hint="eastAsia" w:ascii="宋体" w:hAnsi="宋体" w:eastAsia="宋体" w:cs="Arial"/>
          <w:color w:val="000000"/>
          <w:sz w:val="22"/>
          <w:szCs w:val="22"/>
          <w:lang w:val="en-US" w:eastAsia="zh-CN" w:bidi="ar-SA"/>
        </w:rPr>
        <w:fldChar w:fldCharType="begin"/>
      </w:r>
      <w:r>
        <w:rPr>
          <w:rFonts w:hint="eastAsia" w:ascii="宋体" w:hAnsi="宋体" w:eastAsia="宋体" w:cs="Arial"/>
          <w:color w:val="000000"/>
          <w:sz w:val="22"/>
          <w:szCs w:val="22"/>
          <w:lang w:val="en-US" w:eastAsia="zh-CN" w:bidi="ar-SA"/>
        </w:rPr>
        <w:instrText xml:space="preserve"> HYPERLINK "https://www.timeshighereducation.com/world-university-rankings/2017/regional-ranking#!/page/4/length/25/sort_by/rank/sort_order/asc/cols/stats" </w:instrText>
      </w:r>
      <w:r>
        <w:rPr>
          <w:rFonts w:hint="eastAsia" w:ascii="宋体" w:hAnsi="宋体" w:eastAsia="宋体" w:cs="Arial"/>
          <w:color w:val="000000"/>
          <w:sz w:val="22"/>
          <w:szCs w:val="22"/>
          <w:lang w:val="en-US" w:eastAsia="zh-CN" w:bidi="ar-SA"/>
        </w:rPr>
        <w:fldChar w:fldCharType="separate"/>
      </w:r>
      <w:r>
        <w:rPr>
          <w:rStyle w:val="6"/>
          <w:rFonts w:hint="eastAsia" w:ascii="宋体" w:hAnsi="宋体" w:eastAsia="宋体" w:cs="Arial"/>
          <w:color w:val="000000"/>
          <w:sz w:val="22"/>
          <w:szCs w:val="22"/>
          <w:lang w:val="en-US" w:eastAsia="zh-CN" w:bidi="ar-SA"/>
        </w:rPr>
        <w:t>https://www.timeshighereducation.com/world-university-rankings</w:t>
      </w:r>
      <w:r>
        <w:rPr>
          <w:rFonts w:hint="eastAsia" w:ascii="宋体" w:hAnsi="宋体" w:eastAsia="宋体" w:cs="Arial"/>
          <w:color w:val="000000"/>
          <w:sz w:val="22"/>
          <w:szCs w:val="22"/>
          <w:lang w:val="en-US" w:eastAsia="zh-CN" w:bidi="ar-SA"/>
        </w:rPr>
        <w:fldChar w:fldCharType="end"/>
      </w:r>
    </w:p>
    <w:p>
      <w:pPr>
        <w:pStyle w:val="4"/>
        <w:spacing w:before="0" w:beforeAutospacing="0" w:after="0" w:afterAutospacing="0" w:line="360" w:lineRule="auto"/>
        <w:ind w:leftChars="200"/>
        <w:jc w:val="both"/>
        <w:rPr>
          <w:rFonts w:hint="eastAsia" w:ascii="宋体" w:hAnsi="宋体" w:eastAsia="宋体" w:cs="Arial"/>
          <w:color w:val="000000"/>
          <w:sz w:val="22"/>
          <w:szCs w:val="22"/>
          <w:lang w:val="en-US" w:eastAsia="zh-CN" w:bidi="ar-SA"/>
        </w:rPr>
      </w:pPr>
    </w:p>
    <w:p>
      <w:pPr>
        <w:pStyle w:val="4"/>
        <w:spacing w:before="0" w:beforeAutospacing="0" w:after="0" w:afterAutospacing="0" w:line="360" w:lineRule="auto"/>
        <w:jc w:val="both"/>
        <w:rPr>
          <w:rFonts w:ascii="宋体" w:hAnsi="宋体" w:eastAsia="宋体"/>
          <w:b/>
          <w:sz w:val="22"/>
        </w:rPr>
      </w:pPr>
      <w:r>
        <w:rPr>
          <w:rFonts w:hint="eastAsia" w:ascii="宋体" w:hAnsi="宋体" w:eastAsia="宋体"/>
          <w:b/>
          <w:sz w:val="22"/>
          <w:lang w:val="en-US" w:eastAsia="zh-CN"/>
        </w:rPr>
        <w:t>一、项目</w:t>
      </w:r>
      <w:r>
        <w:rPr>
          <w:rFonts w:hint="eastAsia" w:ascii="宋体" w:hAnsi="宋体" w:eastAsia="宋体"/>
          <w:b/>
          <w:sz w:val="22"/>
        </w:rPr>
        <w:t>亮点介绍：</w:t>
      </w:r>
    </w:p>
    <w:p>
      <w:pPr>
        <w:pStyle w:val="10"/>
        <w:spacing w:line="360" w:lineRule="auto"/>
        <w:ind w:firstLine="440"/>
        <w:jc w:val="both"/>
        <w:rPr>
          <w:rFonts w:hint="eastAsia" w:ascii="宋体" w:hAnsi="宋体" w:eastAsia="宋体" w:cs="宋体"/>
        </w:rPr>
      </w:pPr>
      <w:r>
        <w:rPr>
          <w:rFonts w:hint="eastAsia" w:ascii="宋体" w:hAnsi="宋体" w:eastAsia="宋体" w:cs="宋体"/>
        </w:rPr>
        <w:t>马来西亚拉曼大学</w:t>
      </w:r>
      <w:r>
        <w:rPr>
          <w:rFonts w:hint="eastAsia" w:ascii="宋体" w:hAnsi="宋体" w:eastAsia="宋体" w:cs="宋体"/>
          <w:lang w:val="en-US" w:eastAsia="zh-CN"/>
        </w:rPr>
        <w:t>寒假游学</w:t>
      </w:r>
      <w:r>
        <w:rPr>
          <w:rFonts w:hint="eastAsia" w:ascii="宋体" w:hAnsi="宋体" w:eastAsia="宋体" w:cs="宋体"/>
        </w:rPr>
        <w:t>项目以英语文化课程为主，时长</w:t>
      </w:r>
      <w:r>
        <w:rPr>
          <w:rFonts w:hint="eastAsia" w:ascii="宋体" w:hAnsi="宋体" w:eastAsia="宋体" w:cs="宋体"/>
          <w:lang w:val="en-US" w:eastAsia="zh-CN"/>
        </w:rPr>
        <w:t>14</w:t>
      </w:r>
      <w:r>
        <w:rPr>
          <w:rFonts w:hint="eastAsia" w:ascii="宋体" w:hAnsi="宋体" w:eastAsia="宋体" w:cs="宋体"/>
        </w:rPr>
        <w:t>天，课程内容在设计上注重学习乐趣，每日的语言课程主要强调口语能力（听、说）</w:t>
      </w:r>
      <w:r>
        <w:rPr>
          <w:rFonts w:hint="eastAsia" w:ascii="宋体" w:hAnsi="宋体" w:eastAsia="宋体" w:cs="宋体"/>
          <w:lang w:eastAsia="zh-CN"/>
        </w:rPr>
        <w:t>以及</w:t>
      </w:r>
      <w:r>
        <w:rPr>
          <w:rFonts w:hint="eastAsia" w:ascii="宋体" w:hAnsi="宋体" w:eastAsia="宋体" w:cs="宋体"/>
        </w:rPr>
        <w:t>辨识能力（读、写），</w:t>
      </w:r>
      <w:r>
        <w:rPr>
          <w:rFonts w:hint="eastAsia" w:ascii="宋体" w:hAnsi="宋体" w:eastAsia="宋体" w:cs="宋体"/>
          <w:lang w:eastAsia="zh-CN"/>
        </w:rPr>
        <w:t>有效</w:t>
      </w:r>
      <w:r>
        <w:rPr>
          <w:rFonts w:hint="eastAsia" w:ascii="宋体" w:hAnsi="宋体" w:eastAsia="宋体" w:cs="宋体"/>
        </w:rPr>
        <w:t>强化中国学生</w:t>
      </w:r>
      <w:r>
        <w:rPr>
          <w:rFonts w:hint="eastAsia" w:ascii="宋体" w:hAnsi="宋体" w:eastAsia="宋体" w:cs="宋体"/>
          <w:lang w:eastAsia="zh-CN"/>
        </w:rPr>
        <w:t>运用口语和听力的技巧，在全英文的环境中增加语言交流的机会。</w:t>
      </w:r>
      <w:r>
        <w:rPr>
          <w:rFonts w:hint="eastAsia" w:ascii="宋体" w:hAnsi="宋体" w:eastAsia="宋体" w:cs="宋体"/>
        </w:rPr>
        <w:t>除了学习之外，在</w:t>
      </w:r>
      <w:r>
        <w:rPr>
          <w:rFonts w:hint="eastAsia" w:ascii="宋体" w:hAnsi="宋体" w:eastAsia="宋体" w:cs="宋体"/>
          <w:lang w:val="en-US" w:eastAsia="zh-CN"/>
        </w:rPr>
        <w:t>为期两</w:t>
      </w:r>
      <w:r>
        <w:rPr>
          <w:rFonts w:hint="eastAsia" w:ascii="宋体" w:hAnsi="宋体" w:eastAsia="宋体" w:cs="宋体"/>
        </w:rPr>
        <w:t>周的学习之旅当中，还安排了</w:t>
      </w:r>
      <w:r>
        <w:rPr>
          <w:rFonts w:hint="eastAsia" w:ascii="宋体" w:hAnsi="宋体" w:eastAsia="宋体" w:cs="宋体"/>
          <w:b w:val="0"/>
          <w:bCs w:val="0"/>
        </w:rPr>
        <w:t>如历史</w:t>
      </w:r>
      <w:r>
        <w:rPr>
          <w:rFonts w:hint="eastAsia" w:ascii="宋体" w:hAnsi="宋体" w:eastAsia="宋体" w:cs="宋体"/>
          <w:b w:val="0"/>
          <w:bCs w:val="0"/>
          <w:lang w:val="en-US" w:eastAsia="zh-CN"/>
        </w:rPr>
        <w:t>宗教</w:t>
      </w:r>
      <w:r>
        <w:rPr>
          <w:rFonts w:hint="eastAsia" w:ascii="宋体" w:hAnsi="宋体" w:eastAsia="宋体" w:cs="宋体"/>
          <w:b w:val="0"/>
          <w:bCs w:val="0"/>
        </w:rPr>
        <w:t>建筑群，沙滩，原始热带丛林，自然休闲公园和博物馆文化活动，</w:t>
      </w:r>
      <w:r>
        <w:rPr>
          <w:rFonts w:hint="eastAsia" w:ascii="宋体" w:hAnsi="宋体" w:eastAsia="宋体" w:cs="宋体"/>
        </w:rPr>
        <w:t>除与马来西亚著名的旅游景点相结合</w:t>
      </w:r>
      <w:r>
        <w:rPr>
          <w:rFonts w:hint="eastAsia" w:ascii="宋体" w:hAnsi="宋体" w:eastAsia="宋体" w:cs="宋体"/>
          <w:lang w:eastAsia="zh-CN"/>
        </w:rPr>
        <w:t>，还安排了与当地企业对接参观考察，</w:t>
      </w:r>
      <w:r>
        <w:rPr>
          <w:rFonts w:hint="eastAsia" w:ascii="宋体" w:hAnsi="宋体" w:eastAsia="宋体" w:cs="宋体"/>
        </w:rPr>
        <w:t>让学生有机会运用英语与当地人士进行沟通</w:t>
      </w:r>
      <w:r>
        <w:rPr>
          <w:rFonts w:hint="eastAsia" w:ascii="宋体" w:hAnsi="宋体" w:eastAsia="宋体" w:cs="宋体"/>
          <w:lang w:eastAsia="zh-CN"/>
        </w:rPr>
        <w:t>，加深</w:t>
      </w:r>
      <w:r>
        <w:rPr>
          <w:rFonts w:hint="eastAsia" w:ascii="宋体" w:hAnsi="宋体" w:eastAsia="宋体" w:cs="宋体"/>
        </w:rPr>
        <w:t>了解</w:t>
      </w:r>
      <w:r>
        <w:rPr>
          <w:rFonts w:hint="eastAsia" w:ascii="宋体" w:hAnsi="宋体" w:eastAsia="宋体" w:cs="宋体"/>
          <w:lang w:eastAsia="zh-CN"/>
        </w:rPr>
        <w:t>当地人文及经济领域特色</w:t>
      </w:r>
      <w:r>
        <w:rPr>
          <w:rFonts w:hint="eastAsia" w:ascii="宋体" w:hAnsi="宋体" w:eastAsia="宋体" w:cs="宋体"/>
        </w:rPr>
        <w:t>。</w:t>
      </w:r>
    </w:p>
    <w:p>
      <w:pPr>
        <w:pStyle w:val="10"/>
        <w:spacing w:line="360" w:lineRule="auto"/>
        <w:ind w:firstLine="440"/>
        <w:jc w:val="both"/>
        <w:rPr>
          <w:rFonts w:hint="eastAsia" w:ascii="宋体" w:hAnsi="宋体" w:eastAsia="宋体" w:cs="宋体"/>
        </w:rPr>
      </w:pPr>
    </w:p>
    <w:p>
      <w:pPr>
        <w:pStyle w:val="4"/>
        <w:spacing w:before="0" w:beforeAutospacing="0" w:after="0" w:afterAutospacing="0" w:line="360" w:lineRule="auto"/>
        <w:jc w:val="both"/>
        <w:rPr>
          <w:rFonts w:ascii="宋体" w:hAnsi="宋体" w:eastAsia="宋体"/>
          <w:sz w:val="22"/>
        </w:rPr>
      </w:pPr>
      <w:r>
        <w:rPr>
          <w:rFonts w:hint="eastAsia" w:ascii="宋体" w:hAnsi="宋体" w:eastAsia="宋体"/>
          <w:sz w:val="22"/>
        </w:rPr>
        <w:t>1.马来西亚众多高等院校完全采用纯英语教学，加上英语在马来西亚是官方语言之一，英语广泛流通是马来西亚主要媒介语言，有机会运用英语于</w:t>
      </w:r>
      <w:r>
        <w:rPr>
          <w:rFonts w:hint="eastAsia" w:ascii="宋体" w:hAnsi="宋体" w:eastAsia="宋体"/>
          <w:sz w:val="22"/>
          <w:lang w:val="en-US" w:eastAsia="zh-CN"/>
        </w:rPr>
        <w:t>实际</w:t>
      </w:r>
      <w:r>
        <w:rPr>
          <w:rFonts w:hint="eastAsia" w:ascii="宋体" w:hAnsi="宋体" w:eastAsia="宋体"/>
          <w:sz w:val="22"/>
        </w:rPr>
        <w:t>生活当中，学习“活着的语言” ，有利于提高学生的语言运用水平。</w:t>
      </w:r>
    </w:p>
    <w:p>
      <w:pPr>
        <w:pStyle w:val="4"/>
        <w:spacing w:before="0" w:beforeAutospacing="0" w:after="0" w:afterAutospacing="0" w:line="360" w:lineRule="auto"/>
        <w:jc w:val="both"/>
        <w:rPr>
          <w:rFonts w:ascii="宋体" w:hAnsi="宋体" w:eastAsia="宋体"/>
          <w:sz w:val="22"/>
        </w:rPr>
      </w:pPr>
      <w:r>
        <w:rPr>
          <w:rFonts w:hint="eastAsia" w:ascii="宋体" w:hAnsi="宋体" w:eastAsia="宋体"/>
          <w:sz w:val="22"/>
        </w:rPr>
        <w:t>2.深</w:t>
      </w:r>
      <w:r>
        <w:rPr>
          <w:rFonts w:hint="eastAsia" w:ascii="宋体" w:hAnsi="宋体" w:eastAsia="宋体"/>
          <w:sz w:val="22"/>
          <w:lang w:val="en-US" w:eastAsia="zh-CN"/>
        </w:rPr>
        <w:t>度</w:t>
      </w:r>
      <w:r>
        <w:rPr>
          <w:rFonts w:hint="eastAsia" w:ascii="宋体" w:hAnsi="宋体" w:eastAsia="宋体"/>
          <w:sz w:val="22"/>
        </w:rPr>
        <w:t>体验马来西亚的大学生活型态与学习环境，</w:t>
      </w:r>
      <w:r>
        <w:rPr>
          <w:rFonts w:hint="eastAsia" w:ascii="宋体" w:hAnsi="宋体" w:eastAsia="宋体"/>
          <w:sz w:val="22"/>
          <w:lang w:val="en-US" w:eastAsia="zh-CN"/>
        </w:rPr>
        <w:t>体验不一样的学习课堂，了解异域大学学子的学习与精神风貌，</w:t>
      </w:r>
      <w:r>
        <w:rPr>
          <w:rFonts w:hint="eastAsia" w:ascii="宋体" w:hAnsi="宋体" w:eastAsia="宋体"/>
          <w:sz w:val="22"/>
        </w:rPr>
        <w:t>以丰富人生经验。</w:t>
      </w:r>
    </w:p>
    <w:p>
      <w:pPr>
        <w:pStyle w:val="4"/>
        <w:spacing w:before="0" w:beforeAutospacing="0" w:after="0" w:afterAutospacing="0" w:line="360" w:lineRule="auto"/>
        <w:jc w:val="both"/>
        <w:rPr>
          <w:rFonts w:ascii="宋体" w:hAnsi="宋体" w:eastAsia="宋体"/>
          <w:sz w:val="22"/>
        </w:rPr>
      </w:pPr>
      <w:r>
        <w:rPr>
          <w:rFonts w:hint="eastAsia" w:ascii="宋体" w:hAnsi="宋体" w:eastAsia="宋体"/>
          <w:sz w:val="22"/>
        </w:rPr>
        <w:t>3.马来西亚的教学模式与中国的教学不同，重视学生的上课参与度，采用启发式教学，鼓励学生自己去探索，这些不同的体验是非常难能可贵的。</w:t>
      </w:r>
    </w:p>
    <w:p>
      <w:pPr>
        <w:pStyle w:val="4"/>
        <w:spacing w:before="0" w:beforeAutospacing="0" w:after="0" w:afterAutospacing="0" w:line="360" w:lineRule="auto"/>
        <w:jc w:val="both"/>
        <w:rPr>
          <w:rFonts w:ascii="宋体" w:hAnsi="宋体" w:eastAsia="宋体"/>
          <w:sz w:val="22"/>
        </w:rPr>
      </w:pPr>
      <w:r>
        <w:rPr>
          <w:rFonts w:hint="eastAsia" w:ascii="宋体" w:hAnsi="宋体" w:eastAsia="宋体"/>
          <w:sz w:val="22"/>
        </w:rPr>
        <w:t>4.马来西亚是</w:t>
      </w:r>
      <w:r>
        <w:rPr>
          <w:rFonts w:ascii="宋体" w:hAnsi="宋体" w:eastAsia="宋体"/>
          <w:sz w:val="22"/>
        </w:rPr>
        <w:t>东南亚扼守马六甲海峡的花园国度，</w:t>
      </w:r>
      <w:r>
        <w:rPr>
          <w:rFonts w:ascii="宋体" w:hAnsi="宋体" w:eastAsia="宋体"/>
          <w:sz w:val="22"/>
          <w:u w:val="none"/>
        </w:rPr>
        <w:t>纯净的海滩、奇特的海岛、原始的雨林以及现代化的都市组合成了马来文化的发源地</w:t>
      </w:r>
      <w:r>
        <w:rPr>
          <w:rFonts w:hint="eastAsia" w:ascii="宋体" w:hAnsi="宋体" w:eastAsia="宋体"/>
          <w:sz w:val="22"/>
          <w:u w:val="none"/>
        </w:rPr>
        <w:t>，可</w:t>
      </w:r>
      <w:r>
        <w:rPr>
          <w:rFonts w:hint="eastAsia" w:ascii="宋体" w:hAnsi="宋体" w:eastAsia="宋体"/>
          <w:sz w:val="22"/>
        </w:rPr>
        <w:t>以在学习之余一览美景</w:t>
      </w:r>
      <w:r>
        <w:rPr>
          <w:rFonts w:hint="eastAsia" w:ascii="宋体" w:hAnsi="宋体" w:eastAsia="宋体"/>
          <w:sz w:val="22"/>
          <w:lang w:eastAsia="zh-CN"/>
        </w:rPr>
        <w:t>；</w:t>
      </w:r>
      <w:r>
        <w:rPr>
          <w:rFonts w:hint="eastAsia" w:ascii="宋体" w:hAnsi="宋体" w:eastAsia="宋体"/>
          <w:sz w:val="22"/>
          <w:lang w:val="en-US" w:eastAsia="zh-CN"/>
        </w:rPr>
        <w:t>另外马来西亚是马来人、华人、印度等多民族共同组成的国度，各民族历史、建筑、宗教、饮食、思维方式均差异明显，学生可以亲身浸泡于多元文化里，</w:t>
      </w:r>
      <w:r>
        <w:rPr>
          <w:rFonts w:hint="eastAsia" w:ascii="宋体" w:hAnsi="宋体" w:eastAsia="宋体"/>
          <w:sz w:val="22"/>
        </w:rPr>
        <w:t>拓展自己的视野，增进国际</w:t>
      </w:r>
      <w:r>
        <w:rPr>
          <w:rFonts w:hint="eastAsia" w:ascii="宋体" w:hAnsi="宋体" w:eastAsia="宋体"/>
          <w:sz w:val="22"/>
          <w:lang w:val="en-US" w:eastAsia="zh-CN"/>
        </w:rPr>
        <w:t>观</w:t>
      </w:r>
      <w:r>
        <w:rPr>
          <w:rFonts w:hint="eastAsia" w:ascii="宋体" w:hAnsi="宋体" w:eastAsia="宋体"/>
          <w:sz w:val="22"/>
        </w:rPr>
        <w:t>。</w:t>
      </w:r>
    </w:p>
    <w:p>
      <w:pPr>
        <w:pStyle w:val="4"/>
        <w:spacing w:before="0" w:beforeAutospacing="0" w:after="0" w:afterAutospacing="0" w:line="360" w:lineRule="auto"/>
        <w:jc w:val="both"/>
        <w:rPr>
          <w:rFonts w:hint="eastAsia" w:ascii="宋体" w:hAnsi="宋体" w:eastAsia="宋体"/>
          <w:sz w:val="22"/>
        </w:rPr>
      </w:pPr>
      <w:r>
        <w:rPr>
          <w:rFonts w:hint="eastAsia" w:ascii="宋体" w:hAnsi="宋体" w:eastAsia="宋体"/>
          <w:sz w:val="22"/>
        </w:rPr>
        <w:t>5.马来西</w:t>
      </w:r>
      <w:r>
        <w:rPr>
          <w:rFonts w:hint="eastAsia" w:ascii="宋体" w:hAnsi="宋体" w:eastAsia="宋体"/>
          <w:sz w:val="22"/>
          <w:lang w:val="en-US" w:eastAsia="zh-CN"/>
        </w:rPr>
        <w:t>亚</w:t>
      </w:r>
      <w:r>
        <w:rPr>
          <w:rFonts w:hint="eastAsia" w:ascii="宋体" w:hAnsi="宋体" w:eastAsia="宋体"/>
          <w:sz w:val="22"/>
        </w:rPr>
        <w:t>的生活及学习成本低廉，对于学生而言，是经济实惠的</w:t>
      </w:r>
      <w:r>
        <w:rPr>
          <w:rFonts w:hint="eastAsia" w:ascii="宋体" w:hAnsi="宋体" w:eastAsia="宋体"/>
          <w:sz w:val="22"/>
          <w:lang w:val="en-US" w:eastAsia="zh-CN"/>
        </w:rPr>
        <w:t>留</w:t>
      </w:r>
      <w:r>
        <w:rPr>
          <w:rFonts w:hint="eastAsia" w:ascii="宋体" w:hAnsi="宋体" w:eastAsia="宋体"/>
          <w:sz w:val="22"/>
        </w:rPr>
        <w:t>游学首选之地。</w:t>
      </w:r>
    </w:p>
    <w:p>
      <w:pPr>
        <w:pStyle w:val="4"/>
        <w:spacing w:before="0" w:beforeAutospacing="0" w:after="0" w:afterAutospacing="0" w:line="360" w:lineRule="auto"/>
        <w:jc w:val="both"/>
        <w:rPr>
          <w:rFonts w:hint="eastAsia" w:ascii="宋体" w:hAnsi="宋体" w:eastAsia="宋体"/>
          <w:sz w:val="22"/>
        </w:rPr>
      </w:pPr>
    </w:p>
    <w:p>
      <w:pPr>
        <w:pStyle w:val="4"/>
        <w:spacing w:before="0" w:beforeAutospacing="0" w:after="0" w:afterAutospacing="0" w:line="360" w:lineRule="auto"/>
        <w:jc w:val="both"/>
        <w:rPr>
          <w:rFonts w:ascii="宋体" w:hAnsi="宋体" w:eastAsia="宋体"/>
          <w:b/>
          <w:sz w:val="22"/>
        </w:rPr>
      </w:pPr>
      <w:r>
        <w:rPr>
          <w:rFonts w:hint="eastAsia" w:ascii="宋体" w:hAnsi="宋体" w:eastAsia="宋体"/>
          <w:b/>
          <w:sz w:val="22"/>
          <w:lang w:val="en-US" w:eastAsia="zh-CN"/>
        </w:rPr>
        <w:t>二、</w:t>
      </w:r>
      <w:r>
        <w:rPr>
          <w:rFonts w:hint="eastAsia" w:ascii="宋体" w:hAnsi="宋体" w:eastAsia="宋体"/>
          <w:b/>
          <w:sz w:val="22"/>
        </w:rPr>
        <w:t>拉曼大学介绍：</w:t>
      </w:r>
    </w:p>
    <w:p>
      <w:pPr>
        <w:pStyle w:val="10"/>
        <w:spacing w:line="360" w:lineRule="auto"/>
        <w:ind w:firstLine="440"/>
        <w:jc w:val="both"/>
        <w:rPr>
          <w:rFonts w:hint="eastAsia" w:ascii="宋体" w:hAnsi="宋体" w:eastAsia="宋体" w:cs="宋体"/>
          <w:lang w:eastAsia="zh-CN"/>
        </w:rPr>
      </w:pPr>
      <w:r>
        <w:rPr>
          <w:rFonts w:hint="eastAsia" w:ascii="宋体" w:hAnsi="宋体" w:eastAsia="宋体" w:cs="宋体"/>
        </w:rPr>
        <w:t>拉曼大学创设于2002年，是一所提供优质教育的非营利私立大学。拉曼大学共有四个校区，设有九个学院，即资讯与通讯科技学院、会计与管理学院、创意产业学院、文学与社会科学学院、理工学院、工商与金融学院、理学院、工程与绿色科技学院和医学与保健科学学院。此外，也设有三所研究院（中华研究院、高等教育与研究所和管理与领导培训学院）及三所研究中心（延续教育中心和分别设立于八打灵再也及霹雳校区的基础课程中心）。</w:t>
      </w:r>
      <w:r>
        <w:rPr>
          <w:rFonts w:hint="eastAsia" w:ascii="宋体" w:hAnsi="宋体" w:eastAsia="宋体" w:cs="宋体"/>
          <w:lang w:eastAsia="zh-CN"/>
        </w:rPr>
        <w:t>拉曼大学也是中国教育部认可及</w:t>
      </w:r>
      <w:r>
        <w:rPr>
          <w:rFonts w:hint="eastAsia" w:ascii="宋体" w:hAnsi="宋体" w:eastAsia="宋体" w:cs="宋体"/>
          <w:lang w:val="en-US" w:eastAsia="zh-CN"/>
        </w:rPr>
        <w:t>重点</w:t>
      </w:r>
      <w:r>
        <w:rPr>
          <w:rFonts w:hint="eastAsia" w:ascii="宋体" w:hAnsi="宋体" w:eastAsia="宋体" w:cs="宋体"/>
          <w:lang w:eastAsia="zh-CN"/>
        </w:rPr>
        <w:t>推荐的海外留学高校之一。</w:t>
      </w:r>
    </w:p>
    <w:p>
      <w:pPr>
        <w:pStyle w:val="10"/>
        <w:spacing w:line="360" w:lineRule="auto"/>
        <w:ind w:firstLine="440"/>
        <w:jc w:val="both"/>
        <w:rPr>
          <w:rFonts w:hint="eastAsia" w:ascii="宋体" w:hAnsi="宋体" w:eastAsia="宋体" w:cs="宋体"/>
          <w:lang w:val="en-US" w:eastAsia="zh-CN"/>
        </w:rPr>
      </w:pPr>
      <w:r>
        <w:rPr>
          <w:rFonts w:hint="eastAsia" w:ascii="宋体" w:hAnsi="宋体" w:eastAsia="宋体" w:cs="宋体"/>
        </w:rPr>
        <w:t>另外，拉曼大学在2011年马来西亚高等教育机构级别评估制度（SETARA）中被评为第五等级（优秀），更于2012年马来西亚高等教育机构(工程)学科基础级别评估制度(D-SETAR)中被评为第五等级（优秀）。</w:t>
      </w:r>
      <w:r>
        <w:rPr>
          <w:rFonts w:hint="eastAsia" w:ascii="宋体" w:hAnsi="宋体" w:eastAsia="宋体" w:cs="宋体"/>
          <w:lang w:val="en-US" w:eastAsia="zh-CN"/>
        </w:rPr>
        <w:t>在《泰晤士高等教育》杂志2017年3月16日发布的“2017亚洲大学排行榜”，共有300家亚洲顶尖学府入选，拉曼大学位列111-120位，雄踞亚洲顶尖大学的前列。</w:t>
      </w:r>
    </w:p>
    <w:p>
      <w:pPr>
        <w:pStyle w:val="10"/>
        <w:spacing w:line="360" w:lineRule="auto"/>
        <w:ind w:firstLine="440"/>
        <w:jc w:val="both"/>
        <w:rPr>
          <w:rFonts w:ascii="宋体" w:hAnsi="宋体" w:eastAsia="宋体"/>
        </w:rPr>
      </w:pPr>
      <w:r>
        <w:rPr>
          <w:rFonts w:hint="eastAsia" w:ascii="宋体" w:hAnsi="宋体" w:eastAsia="宋体" w:cs="宋体"/>
        </w:rPr>
        <w:t xml:space="preserve"> 强调</w:t>
      </w:r>
      <w:r>
        <w:rPr>
          <w:rFonts w:hint="eastAsia" w:ascii="宋体" w:hAnsi="宋体" w:eastAsia="宋体" w:cs="宋体"/>
          <w:color w:val="auto"/>
        </w:rPr>
        <w:t>以全人教育为教育理念</w:t>
      </w:r>
      <w:r>
        <w:rPr>
          <w:rFonts w:hint="eastAsia" w:ascii="宋体" w:hAnsi="宋体" w:eastAsia="宋体" w:cs="宋体"/>
        </w:rPr>
        <w:t>的拉曼大学，除了着重于学生的学业，也为学生提供其他技能，如软技能的培育，让</w:t>
      </w:r>
      <w:r>
        <w:rPr>
          <w:rFonts w:hint="eastAsia" w:ascii="宋体" w:hAnsi="宋体" w:eastAsia="宋体" w:cs="宋体"/>
          <w:lang w:val="en-US" w:eastAsia="zh-CN"/>
        </w:rPr>
        <w:t>学生</w:t>
      </w:r>
      <w:r>
        <w:rPr>
          <w:rFonts w:hint="eastAsia" w:ascii="宋体" w:hAnsi="宋体" w:eastAsia="宋体" w:cs="宋体"/>
        </w:rPr>
        <w:t>在未来的职场上，即使面对再强的竞争，也能够得心应手。为此，拉曼大学积极鼓励学生参与课外活动，所以学生均有机会体验课堂以外的生活，并且学习筹办活动所需的基本技能，成为全方位人才。</w:t>
      </w:r>
    </w:p>
    <w:p>
      <w:pPr>
        <w:pStyle w:val="10"/>
        <w:spacing w:line="360" w:lineRule="auto"/>
        <w:ind w:firstLine="440"/>
        <w:jc w:val="both"/>
        <w:rPr>
          <w:rFonts w:hint="eastAsia" w:ascii="宋体" w:hAnsi="宋体" w:eastAsia="宋体" w:cs="宋体"/>
        </w:rPr>
      </w:pPr>
      <w:r>
        <w:rPr>
          <w:rFonts w:hint="eastAsia" w:ascii="宋体" w:hAnsi="宋体" w:eastAsia="宋体" w:cs="宋体"/>
        </w:rPr>
        <w:t>现拉曼大学已经与四所海外伙伴大学合作提供双学士学位课程；</w:t>
      </w:r>
      <w:r>
        <w:rPr>
          <w:rFonts w:hint="eastAsia" w:ascii="宋体" w:hAnsi="宋体" w:eastAsia="宋体" w:cs="宋体"/>
          <w:highlight w:val="none"/>
        </w:rPr>
        <w:t>即美国康</w:t>
      </w:r>
      <w:r>
        <w:rPr>
          <w:rFonts w:hint="eastAsia" w:ascii="宋体" w:hAnsi="宋体" w:eastAsia="宋体" w:cs="宋体"/>
          <w:highlight w:val="none"/>
          <w:lang w:eastAsia="zh-CN"/>
        </w:rPr>
        <w:t>奈</w:t>
      </w:r>
      <w:r>
        <w:rPr>
          <w:rFonts w:hint="eastAsia" w:ascii="宋体" w:hAnsi="宋体" w:eastAsia="宋体" w:cs="宋体"/>
          <w:highlight w:val="none"/>
        </w:rPr>
        <w:t>尔大学、英国考文垂大学、索尔福德大学、谢菲尔德哈勒姆大学；</w:t>
      </w:r>
      <w:r>
        <w:rPr>
          <w:rFonts w:hint="eastAsia" w:ascii="宋体" w:hAnsi="宋体" w:eastAsia="宋体" w:cs="宋体"/>
        </w:rPr>
        <w:t>学生完成后，将获得双学士学位，即拉曼大学学院及其海外伙伴大学的学术资格。更有许多成绩优异的A水平学生成功进入世界顶尖大学如牛津大学、剑桥大学、曼彻斯特大学、诺丁汉大学、伦敦帝国大学及新加坡国立大学深造。</w:t>
      </w:r>
    </w:p>
    <w:p>
      <w:pPr>
        <w:pStyle w:val="10"/>
        <w:spacing w:line="360" w:lineRule="auto"/>
        <w:ind w:firstLine="440"/>
        <w:jc w:val="both"/>
        <w:rPr>
          <w:rFonts w:hint="eastAsia" w:ascii="宋体" w:hAnsi="宋体" w:eastAsia="宋体" w:cs="宋体"/>
        </w:rPr>
      </w:pPr>
      <w:r>
        <w:rPr>
          <w:rFonts w:hint="eastAsia" w:ascii="宋体" w:hAnsi="宋体" w:eastAsia="宋体" w:cs="宋体"/>
          <w:lang w:val="en-US" w:eastAsia="zh-CN"/>
        </w:rPr>
        <w:t>拉曼大学环湖而建，依山傍水，候鸟成群，校园面积广，远离外界喧嚣，校内特色建筑多，处处洋溢着思考与探索真理的气息，公寓式优越住宿环境，实为学子求学做学问的好地方。</w:t>
      </w:r>
    </w:p>
    <w:p>
      <w:pPr>
        <w:pStyle w:val="10"/>
        <w:spacing w:line="360" w:lineRule="auto"/>
        <w:jc w:val="both"/>
        <w:rPr>
          <w:rFonts w:ascii="宋体" w:hAnsi="宋体" w:eastAsia="宋体"/>
          <w:lang w:eastAsia="zh-TW"/>
        </w:rPr>
      </w:pPr>
      <w:r>
        <w:rPr>
          <w:rFonts w:ascii="宋体" w:hAnsi="宋体" w:eastAsia="宋体"/>
          <w:lang w:eastAsia="zh-TW"/>
        </w:rPr>
        <w:drawing>
          <wp:inline distT="0" distB="0" distL="0" distR="0">
            <wp:extent cx="1600200" cy="1196975"/>
            <wp:effectExtent l="0" t="0" r="0" b="3175"/>
            <wp:docPr id="1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02288" cy="1198702"/>
                    </a:xfrm>
                    <a:prstGeom prst="rect">
                      <a:avLst/>
                    </a:prstGeom>
                    <a:noFill/>
                    <a:ln>
                      <a:noFill/>
                    </a:ln>
                  </pic:spPr>
                </pic:pic>
              </a:graphicData>
            </a:graphic>
          </wp:inline>
        </w:drawing>
      </w:r>
      <w:r>
        <w:rPr>
          <w:rFonts w:ascii="宋体" w:hAnsi="宋体" w:eastAsia="宋体"/>
          <w:lang w:eastAsia="zh-TW"/>
        </w:rPr>
        <w:drawing>
          <wp:inline distT="0" distB="0" distL="0" distR="0">
            <wp:extent cx="1783715" cy="1201420"/>
            <wp:effectExtent l="0" t="0" r="6985" b="17780"/>
            <wp:docPr id="18" name="圖片 3" descr="C:\Users\INV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3" descr="C:\Users\INVO\Desktop\图片1.png图片1"/>
                    <pic:cNvPicPr>
                      <a:picLocks noChangeAspect="1" noChangeArrowheads="1"/>
                    </pic:cNvPicPr>
                  </pic:nvPicPr>
                  <pic:blipFill>
                    <a:blip r:embed="rId7"/>
                    <a:srcRect/>
                    <a:stretch>
                      <a:fillRect/>
                    </a:stretch>
                  </pic:blipFill>
                  <pic:spPr>
                    <a:xfrm>
                      <a:off x="0" y="0"/>
                      <a:ext cx="1783715" cy="1201420"/>
                    </a:xfrm>
                    <a:prstGeom prst="rect">
                      <a:avLst/>
                    </a:prstGeom>
                    <a:noFill/>
                    <a:ln>
                      <a:noFill/>
                    </a:ln>
                  </pic:spPr>
                </pic:pic>
              </a:graphicData>
            </a:graphic>
          </wp:inline>
        </w:drawing>
      </w:r>
      <w:r>
        <w:rPr>
          <w:rFonts w:ascii="宋体" w:hAnsi="宋体" w:eastAsia="宋体"/>
          <w:lang w:eastAsia="zh-TW"/>
        </w:rPr>
        <w:drawing>
          <wp:inline distT="0" distB="0" distL="0" distR="0">
            <wp:extent cx="2047240" cy="1240790"/>
            <wp:effectExtent l="0" t="0" r="10160" b="16510"/>
            <wp:docPr id="24"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47240" cy="1242013"/>
                    </a:xfrm>
                    <a:prstGeom prst="rect">
                      <a:avLst/>
                    </a:prstGeom>
                    <a:noFill/>
                    <a:ln>
                      <a:noFill/>
                    </a:ln>
                  </pic:spPr>
                </pic:pic>
              </a:graphicData>
            </a:graphic>
          </wp:inline>
        </w:drawing>
      </w:r>
      <w:r>
        <w:rPr>
          <w:rFonts w:ascii="宋体" w:hAnsi="宋体" w:eastAsia="宋体"/>
          <w:lang w:eastAsia="zh-TW"/>
        </w:rPr>
        <w:drawing>
          <wp:inline distT="0" distB="0" distL="0" distR="0">
            <wp:extent cx="5728970" cy="1472565"/>
            <wp:effectExtent l="0" t="0" r="5080" b="13335"/>
            <wp:docPr id="23"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28970" cy="1472975"/>
                    </a:xfrm>
                    <a:prstGeom prst="rect">
                      <a:avLst/>
                    </a:prstGeom>
                    <a:noFill/>
                    <a:ln>
                      <a:noFill/>
                    </a:ln>
                  </pic:spPr>
                </pic:pic>
              </a:graphicData>
            </a:graphic>
          </wp:inline>
        </w:drawing>
      </w:r>
    </w:p>
    <w:p>
      <w:pPr>
        <w:pStyle w:val="10"/>
        <w:spacing w:line="36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图为拉曼大学掠影</w:t>
      </w:r>
    </w:p>
    <w:p>
      <w:pPr>
        <w:pStyle w:val="10"/>
        <w:spacing w:line="360" w:lineRule="auto"/>
        <w:jc w:val="both"/>
        <w:rPr>
          <w:rFonts w:hint="eastAsia" w:ascii="宋体" w:hAnsi="宋体" w:eastAsia="宋体"/>
          <w:lang w:eastAsia="zh-CN"/>
        </w:rPr>
      </w:pPr>
      <w:r>
        <w:drawing>
          <wp:inline distT="0" distB="0" distL="114300" distR="114300">
            <wp:extent cx="5730240" cy="2430145"/>
            <wp:effectExtent l="0" t="0" r="3810" b="825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730240" cy="2430145"/>
                    </a:xfrm>
                    <a:prstGeom prst="rect">
                      <a:avLst/>
                    </a:prstGeom>
                    <a:noFill/>
                    <a:ln w="9525">
                      <a:noFill/>
                    </a:ln>
                  </pic:spPr>
                </pic:pic>
              </a:graphicData>
            </a:graphic>
          </wp:inline>
        </w:drawing>
      </w:r>
    </w:p>
    <w:p>
      <w:pPr>
        <w:pStyle w:val="10"/>
        <w:spacing w:line="360" w:lineRule="auto"/>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图为中国西南科技大学学子参加暑期语言文化研修营的合影</w:t>
      </w:r>
    </w:p>
    <w:p>
      <w:pPr>
        <w:pStyle w:val="10"/>
        <w:numPr>
          <w:ilvl w:val="0"/>
          <w:numId w:val="0"/>
        </w:numPr>
        <w:spacing w:line="360" w:lineRule="auto"/>
        <w:ind w:left="360" w:leftChars="0"/>
        <w:contextualSpacing/>
        <w:jc w:val="both"/>
        <w:rPr>
          <w:rFonts w:hint="eastAsia" w:ascii="宋体" w:hAnsi="宋体" w:eastAsia="宋体" w:cs="宋体"/>
          <w:i w:val="0"/>
          <w:iCs w:val="0"/>
        </w:rPr>
      </w:pPr>
    </w:p>
    <w:p>
      <w:pPr>
        <w:spacing w:line="360" w:lineRule="auto"/>
        <w:ind w:left="331" w:leftChars="0" w:hanging="331" w:hangingChars="150"/>
        <w:rPr>
          <w:rFonts w:hint="eastAsia" w:ascii="华文细黑" w:hAnsi="华文细黑" w:eastAsia="华文细黑" w:cs="华文细黑"/>
          <w:b/>
          <w:sz w:val="28"/>
          <w:lang w:val="en-US" w:eastAsia="zh-CN"/>
        </w:rPr>
      </w:pPr>
      <w:r>
        <w:rPr>
          <w:rFonts w:hint="eastAsia" w:ascii="宋体" w:hAnsi="宋体" w:eastAsia="宋体" w:cs="宋体"/>
          <w:b/>
          <w:bCs/>
          <w:i w:val="0"/>
          <w:iCs/>
          <w:lang w:val="en-US" w:eastAsia="zh-CN"/>
        </w:rPr>
        <w:t>三、</w:t>
      </w:r>
      <w:r>
        <w:rPr>
          <w:rFonts w:hint="eastAsia" w:ascii="宋体" w:hAnsi="宋体" w:eastAsia="宋体" w:cs="宋体"/>
          <w:b/>
          <w:bCs/>
          <w:i w:val="0"/>
          <w:iCs/>
        </w:rPr>
        <w:t>行程安排：</w:t>
      </w:r>
      <w:r>
        <w:rPr>
          <w:rFonts w:hint="eastAsia" w:ascii="宋体" w:hAnsi="宋体" w:eastAsia="宋体" w:cs="宋体"/>
          <w:b/>
          <w:bCs/>
          <w:i w:val="0"/>
          <w:iCs/>
          <w:lang w:val="en-US" w:eastAsia="zh-CN"/>
        </w:rPr>
        <w:t xml:space="preserve"> 2018年1月21日- 2月4 (共15天)</w:t>
      </w:r>
    </w:p>
    <w:p>
      <w:pPr>
        <w:pStyle w:val="10"/>
        <w:spacing w:line="360" w:lineRule="auto"/>
        <w:jc w:val="both"/>
        <w:rPr>
          <w:rFonts w:hint="eastAsia" w:ascii="宋体" w:hAnsi="宋体" w:eastAsia="宋体" w:cs="宋体"/>
          <w:b/>
          <w:bCs/>
          <w:i w:val="0"/>
          <w:iCs/>
        </w:rPr>
      </w:pPr>
    </w:p>
    <w:tbl>
      <w:tblPr>
        <w:tblStyle w:val="9"/>
        <w:tblW w:w="8696" w:type="dxa"/>
        <w:tblInd w:w="0" w:type="dxa"/>
        <w:tblLayout w:type="fixed"/>
        <w:tblCellMar>
          <w:top w:w="0" w:type="dxa"/>
          <w:left w:w="28" w:type="dxa"/>
          <w:bottom w:w="0" w:type="dxa"/>
          <w:right w:w="28" w:type="dxa"/>
        </w:tblCellMar>
      </w:tblPr>
      <w:tblGrid>
        <w:gridCol w:w="729"/>
        <w:gridCol w:w="1445"/>
        <w:gridCol w:w="1087"/>
        <w:gridCol w:w="1087"/>
        <w:gridCol w:w="1087"/>
        <w:gridCol w:w="1087"/>
        <w:gridCol w:w="770"/>
        <w:gridCol w:w="1404"/>
      </w:tblGrid>
      <w:tr>
        <w:tblPrEx>
          <w:tblLayout w:type="fixed"/>
          <w:tblCellMar>
            <w:top w:w="0" w:type="dxa"/>
            <w:left w:w="28" w:type="dxa"/>
            <w:bottom w:w="0" w:type="dxa"/>
            <w:right w:w="28" w:type="dxa"/>
          </w:tblCellMar>
        </w:tblPrEx>
        <w:trPr>
          <w:trHeight w:val="320" w:hRule="atLeast"/>
        </w:trPr>
        <w:tc>
          <w:tcPr>
            <w:tcW w:w="729" w:type="dxa"/>
            <w:tcBorders>
              <w:top w:val="single" w:color="auto" w:sz="4" w:space="0"/>
              <w:left w:val="single" w:color="auto" w:sz="4" w:space="0"/>
              <w:bottom w:val="single" w:color="auto" w:sz="4" w:space="0"/>
              <w:right w:val="single" w:color="auto" w:sz="4" w:space="0"/>
            </w:tcBorders>
            <w:shd w:val="clear" w:color="000000" w:fill="FFF2CC"/>
            <w:vAlign w:val="center"/>
          </w:tcPr>
          <w:p>
            <w:pPr>
              <w:widowControl/>
              <w:spacing w:line="360" w:lineRule="auto"/>
              <w:jc w:val="center"/>
              <w:rPr>
                <w:rFonts w:ascii="Microsoft JhengHei" w:hAnsi="Microsoft JhengHei" w:eastAsia="Microsoft JhengHei" w:cs="Times New Roman"/>
                <w:sz w:val="16"/>
                <w:szCs w:val="16"/>
              </w:rPr>
            </w:pPr>
            <w:bookmarkStart w:id="3" w:name="OLE_LINK4"/>
            <w:r>
              <w:rPr>
                <w:rFonts w:hint="eastAsia" w:ascii="Microsoft JhengHei" w:hAnsi="Microsoft JhengHei" w:eastAsia="Microsoft JhengHei" w:cs="Times New Roman"/>
                <w:sz w:val="16"/>
                <w:szCs w:val="16"/>
              </w:rPr>
              <w:t>周数</w:t>
            </w:r>
          </w:p>
        </w:tc>
        <w:tc>
          <w:tcPr>
            <w:tcW w:w="7967" w:type="dxa"/>
            <w:gridSpan w:val="7"/>
            <w:tcBorders>
              <w:top w:val="single" w:color="auto" w:sz="4" w:space="0"/>
              <w:left w:val="single" w:color="auto" w:sz="4" w:space="0"/>
              <w:bottom w:val="single" w:color="auto" w:sz="4" w:space="0"/>
              <w:right w:val="single" w:color="000000" w:sz="4" w:space="0"/>
            </w:tcBorders>
            <w:shd w:val="clear" w:color="000000" w:fill="FFF2CC"/>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第一周</w:t>
            </w:r>
          </w:p>
        </w:tc>
      </w:tr>
      <w:tr>
        <w:tblPrEx>
          <w:tblLayout w:type="fixed"/>
          <w:tblCellMar>
            <w:top w:w="0" w:type="dxa"/>
            <w:left w:w="28" w:type="dxa"/>
            <w:bottom w:w="0" w:type="dxa"/>
            <w:right w:w="28" w:type="dxa"/>
          </w:tblCellMar>
        </w:tblPrEx>
        <w:trPr>
          <w:trHeight w:val="320" w:hRule="atLeast"/>
        </w:trPr>
        <w:tc>
          <w:tcPr>
            <w:tcW w:w="729" w:type="dxa"/>
            <w:tcBorders>
              <w:top w:val="nil"/>
              <w:left w:val="single" w:color="auto" w:sz="4" w:space="0"/>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天数</w:t>
            </w:r>
          </w:p>
        </w:tc>
        <w:tc>
          <w:tcPr>
            <w:tcW w:w="1445" w:type="dxa"/>
            <w:tcBorders>
              <w:top w:val="nil"/>
              <w:left w:val="single" w:color="auto" w:sz="4" w:space="0"/>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第一天</w:t>
            </w:r>
          </w:p>
        </w:tc>
        <w:tc>
          <w:tcPr>
            <w:tcW w:w="1087"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第二天</w:t>
            </w:r>
          </w:p>
        </w:tc>
        <w:tc>
          <w:tcPr>
            <w:tcW w:w="1087"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第三天</w:t>
            </w:r>
          </w:p>
        </w:tc>
        <w:tc>
          <w:tcPr>
            <w:tcW w:w="1087"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第四天</w:t>
            </w:r>
          </w:p>
        </w:tc>
        <w:tc>
          <w:tcPr>
            <w:tcW w:w="1087"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第五天</w:t>
            </w:r>
          </w:p>
        </w:tc>
        <w:tc>
          <w:tcPr>
            <w:tcW w:w="770"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第六天</w:t>
            </w:r>
          </w:p>
        </w:tc>
        <w:tc>
          <w:tcPr>
            <w:tcW w:w="1404"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第七天</w:t>
            </w:r>
          </w:p>
        </w:tc>
      </w:tr>
      <w:tr>
        <w:tblPrEx>
          <w:tblLayout w:type="fixed"/>
          <w:tblCellMar>
            <w:top w:w="0" w:type="dxa"/>
            <w:left w:w="28" w:type="dxa"/>
            <w:bottom w:w="0" w:type="dxa"/>
            <w:right w:w="28" w:type="dxa"/>
          </w:tblCellMar>
        </w:tblPrEx>
        <w:trPr>
          <w:trHeight w:val="635" w:hRule="atLeast"/>
        </w:trPr>
        <w:tc>
          <w:tcPr>
            <w:tcW w:w="729" w:type="dxa"/>
            <w:tcBorders>
              <w:top w:val="nil"/>
              <w:left w:val="single" w:color="auto" w:sz="4" w:space="0"/>
              <w:bottom w:val="single" w:color="auto" w:sz="4" w:space="0"/>
              <w:right w:val="single" w:color="auto" w:sz="4" w:space="0"/>
            </w:tcBorders>
            <w:shd w:val="clear" w:color="000000" w:fill="EAD1DC"/>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上午</w:t>
            </w:r>
          </w:p>
        </w:tc>
        <w:tc>
          <w:tcPr>
            <w:tcW w:w="1445" w:type="dxa"/>
            <w:tcBorders>
              <w:top w:val="nil"/>
              <w:left w:val="single" w:color="auto" w:sz="4" w:space="0"/>
              <w:bottom w:val="single" w:color="auto" w:sz="4" w:space="0"/>
              <w:right w:val="single" w:color="auto" w:sz="4" w:space="0"/>
            </w:tcBorders>
            <w:shd w:val="clear" w:color="000000" w:fill="FFF2CC"/>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抵达吉隆坡</w:t>
            </w:r>
          </w:p>
        </w:tc>
        <w:tc>
          <w:tcPr>
            <w:tcW w:w="1087" w:type="dxa"/>
            <w:tcBorders>
              <w:top w:val="nil"/>
              <w:left w:val="nil"/>
              <w:bottom w:val="single" w:color="auto" w:sz="4" w:space="0"/>
              <w:right w:val="single" w:color="auto" w:sz="4" w:space="0"/>
            </w:tcBorders>
            <w:shd w:val="clear" w:color="000000" w:fill="FFF2CC"/>
            <w:vAlign w:val="center"/>
          </w:tcPr>
          <w:p>
            <w:pPr>
              <w:widowControl/>
              <w:spacing w:line="360" w:lineRule="auto"/>
              <w:jc w:val="center"/>
              <w:rPr>
                <w:rFonts w:hint="eastAsia"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lang w:val="en-US" w:eastAsia="zh-CN"/>
              </w:rPr>
              <w:t>欢迎</w:t>
            </w:r>
            <w:r>
              <w:rPr>
                <w:rFonts w:hint="eastAsia" w:ascii="Microsoft JhengHei" w:hAnsi="Microsoft JhengHei" w:eastAsia="Microsoft JhengHei" w:cs="Times New Roman"/>
                <w:sz w:val="16"/>
                <w:szCs w:val="16"/>
              </w:rPr>
              <w:t>仪式</w:t>
            </w:r>
          </w:p>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介绍学伴</w:t>
            </w:r>
          </w:p>
        </w:tc>
        <w:tc>
          <w:tcPr>
            <w:tcW w:w="1087" w:type="dxa"/>
            <w:tcBorders>
              <w:top w:val="nil"/>
              <w:left w:val="nil"/>
              <w:bottom w:val="single" w:color="auto" w:sz="4" w:space="0"/>
              <w:right w:val="single" w:color="auto" w:sz="4" w:space="0"/>
            </w:tcBorders>
            <w:shd w:val="clear" w:color="000000" w:fill="9FC5E8"/>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英语课程</w:t>
            </w:r>
          </w:p>
        </w:tc>
        <w:tc>
          <w:tcPr>
            <w:tcW w:w="1087" w:type="dxa"/>
            <w:tcBorders>
              <w:top w:val="nil"/>
              <w:left w:val="nil"/>
              <w:bottom w:val="single" w:color="auto" w:sz="4" w:space="0"/>
              <w:right w:val="single" w:color="auto" w:sz="4" w:space="0"/>
            </w:tcBorders>
            <w:shd w:val="clear" w:color="000000" w:fill="9FC5E8"/>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英语课程</w:t>
            </w:r>
          </w:p>
        </w:tc>
        <w:tc>
          <w:tcPr>
            <w:tcW w:w="1087" w:type="dxa"/>
            <w:tcBorders>
              <w:top w:val="nil"/>
              <w:left w:val="nil"/>
              <w:bottom w:val="single" w:color="auto" w:sz="4" w:space="0"/>
              <w:right w:val="single" w:color="auto" w:sz="4" w:space="0"/>
            </w:tcBorders>
            <w:shd w:val="clear" w:color="000000" w:fill="9FC5E8"/>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英语课程</w:t>
            </w:r>
          </w:p>
        </w:tc>
        <w:tc>
          <w:tcPr>
            <w:tcW w:w="770" w:type="dxa"/>
            <w:tcBorders>
              <w:top w:val="nil"/>
              <w:left w:val="nil"/>
              <w:bottom w:val="single" w:color="auto" w:sz="4" w:space="0"/>
              <w:right w:val="single" w:color="auto" w:sz="4" w:space="0"/>
            </w:tcBorders>
            <w:shd w:val="clear" w:color="000000" w:fill="D9EAD3"/>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马来西亚历史介绍</w:t>
            </w:r>
          </w:p>
        </w:tc>
        <w:tc>
          <w:tcPr>
            <w:tcW w:w="1404" w:type="dxa"/>
            <w:tcBorders>
              <w:top w:val="nil"/>
              <w:left w:val="nil"/>
              <w:bottom w:val="single" w:color="auto" w:sz="4" w:space="0"/>
              <w:right w:val="single" w:color="auto" w:sz="4" w:space="0"/>
            </w:tcBorders>
            <w:shd w:val="clear" w:color="000000" w:fill="F4CCCC"/>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br w:type="textWrapping"/>
            </w:r>
            <w:r>
              <w:rPr>
                <w:rFonts w:hint="eastAsia" w:ascii="Microsoft JhengHei" w:hAnsi="Microsoft JhengHei" w:eastAsia="Microsoft JhengHei" w:cs="Times New Roman"/>
                <w:sz w:val="16"/>
                <w:szCs w:val="16"/>
              </w:rPr>
              <w:t>瓜拉江沙遗迹巡礼</w:t>
            </w:r>
            <w:r>
              <w:rPr>
                <w:rFonts w:hint="eastAsia" w:ascii="Microsoft JhengHei" w:hAnsi="Microsoft JhengHei" w:eastAsia="Microsoft JhengHei" w:cs="Times New Roman"/>
                <w:sz w:val="16"/>
                <w:szCs w:val="16"/>
              </w:rPr>
              <w:br w:type="textWrapping"/>
            </w:r>
            <w:r>
              <w:rPr>
                <w:rFonts w:hint="eastAsia" w:ascii="Microsoft JhengHei" w:hAnsi="Microsoft JhengHei" w:eastAsia="Microsoft JhengHei" w:cs="Times New Roman"/>
                <w:sz w:val="16"/>
                <w:szCs w:val="16"/>
              </w:rPr>
              <w:t>银色的皇家城镇</w:t>
            </w:r>
          </w:p>
        </w:tc>
      </w:tr>
      <w:tr>
        <w:tblPrEx>
          <w:tblLayout w:type="fixed"/>
          <w:tblCellMar>
            <w:top w:w="0" w:type="dxa"/>
            <w:left w:w="28" w:type="dxa"/>
            <w:bottom w:w="0" w:type="dxa"/>
            <w:right w:w="28" w:type="dxa"/>
          </w:tblCellMar>
        </w:tblPrEx>
        <w:trPr>
          <w:trHeight w:val="632" w:hRule="atLeast"/>
        </w:trPr>
        <w:tc>
          <w:tcPr>
            <w:tcW w:w="729" w:type="dxa"/>
            <w:tcBorders>
              <w:top w:val="nil"/>
              <w:left w:val="single" w:color="auto" w:sz="4" w:space="0"/>
              <w:bottom w:val="single" w:color="auto" w:sz="4" w:space="0"/>
              <w:right w:val="single" w:color="auto" w:sz="4" w:space="0"/>
            </w:tcBorders>
            <w:shd w:val="clear" w:color="000000" w:fill="EAD1DC"/>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下午</w:t>
            </w:r>
          </w:p>
        </w:tc>
        <w:tc>
          <w:tcPr>
            <w:tcW w:w="1445" w:type="dxa"/>
            <w:tcBorders>
              <w:top w:val="nil"/>
              <w:left w:val="single" w:color="auto" w:sz="4" w:space="0"/>
              <w:bottom w:val="single" w:color="auto" w:sz="4" w:space="0"/>
              <w:right w:val="single" w:color="auto" w:sz="4" w:space="0"/>
            </w:tcBorders>
            <w:shd w:val="clear" w:color="000000" w:fill="FFF2CC"/>
            <w:vAlign w:val="center"/>
          </w:tcPr>
          <w:p>
            <w:pPr>
              <w:widowControl/>
              <w:spacing w:line="360" w:lineRule="auto"/>
              <w:jc w:val="center"/>
              <w:rPr>
                <w:rFonts w:hint="eastAsia"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抵达</w:t>
            </w:r>
            <w:r>
              <w:rPr>
                <w:rFonts w:hint="eastAsia" w:ascii="Microsoft JhengHei" w:hAnsi="Microsoft JhengHei" w:eastAsia="Microsoft JhengHei" w:cs="Times New Roman"/>
                <w:sz w:val="16"/>
                <w:szCs w:val="16"/>
                <w:lang w:val="en-US" w:eastAsia="zh-CN"/>
              </w:rPr>
              <w:t>拉曼大学</w:t>
            </w:r>
          </w:p>
        </w:tc>
        <w:tc>
          <w:tcPr>
            <w:tcW w:w="1087" w:type="dxa"/>
            <w:tcBorders>
              <w:top w:val="nil"/>
              <w:left w:val="nil"/>
              <w:bottom w:val="single" w:color="auto" w:sz="4" w:space="0"/>
              <w:right w:val="single" w:color="auto" w:sz="4" w:space="0"/>
            </w:tcBorders>
            <w:shd w:val="clear" w:color="000000" w:fill="FFF2CC"/>
            <w:vAlign w:val="center"/>
          </w:tcPr>
          <w:p>
            <w:pPr>
              <w:widowControl/>
              <w:spacing w:line="360" w:lineRule="auto"/>
              <w:jc w:val="center"/>
              <w:rPr>
                <w:rFonts w:hint="eastAsia"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入学测验</w:t>
            </w:r>
          </w:p>
        </w:tc>
        <w:tc>
          <w:tcPr>
            <w:tcW w:w="1087" w:type="dxa"/>
            <w:tcBorders>
              <w:top w:val="nil"/>
              <w:left w:val="nil"/>
              <w:bottom w:val="single" w:color="auto" w:sz="4" w:space="0"/>
              <w:right w:val="single" w:color="auto" w:sz="4" w:space="0"/>
            </w:tcBorders>
            <w:shd w:val="clear" w:color="000000" w:fill="D9EAD3"/>
            <w:vAlign w:val="center"/>
          </w:tcPr>
          <w:p>
            <w:pPr>
              <w:widowControl/>
              <w:spacing w:line="360" w:lineRule="auto"/>
              <w:jc w:val="center"/>
              <w:rPr>
                <w:rFonts w:hint="eastAsia"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lang w:val="en-US" w:eastAsia="zh-CN"/>
              </w:rPr>
              <w:t>拉曼大学</w:t>
            </w:r>
            <w:r>
              <w:rPr>
                <w:rFonts w:hint="eastAsia" w:ascii="Microsoft JhengHei" w:hAnsi="Microsoft JhengHei" w:eastAsia="Microsoft JhengHei" w:cs="Times New Roman"/>
                <w:sz w:val="16"/>
                <w:szCs w:val="16"/>
              </w:rPr>
              <w:t>介绍</w:t>
            </w:r>
          </w:p>
          <w:p>
            <w:pPr>
              <w:widowControl/>
              <w:spacing w:line="360" w:lineRule="auto"/>
              <w:jc w:val="center"/>
              <w:rPr>
                <w:rFonts w:hint="eastAsia"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lang w:val="en-US" w:eastAsia="zh-CN"/>
              </w:rPr>
              <w:t>校园</w:t>
            </w:r>
            <w:r>
              <w:rPr>
                <w:rFonts w:hint="eastAsia" w:ascii="Microsoft JhengHei" w:hAnsi="Microsoft JhengHei" w:eastAsia="Microsoft JhengHei" w:cs="Times New Roman"/>
                <w:sz w:val="16"/>
                <w:szCs w:val="16"/>
              </w:rPr>
              <w:t>导览</w:t>
            </w:r>
          </w:p>
        </w:tc>
        <w:tc>
          <w:tcPr>
            <w:tcW w:w="1087" w:type="dxa"/>
            <w:tcBorders>
              <w:top w:val="nil"/>
              <w:left w:val="nil"/>
              <w:bottom w:val="single" w:color="auto" w:sz="4" w:space="0"/>
              <w:right w:val="single" w:color="auto" w:sz="4" w:space="0"/>
            </w:tcBorders>
            <w:shd w:val="clear" w:color="000000" w:fill="D9EAD3"/>
            <w:vAlign w:val="center"/>
          </w:tcPr>
          <w:p>
            <w:pPr>
              <w:widowControl/>
              <w:spacing w:line="360" w:lineRule="auto"/>
              <w:jc w:val="center"/>
              <w:rPr>
                <w:rFonts w:hint="eastAsia" w:ascii="Microsoft JhengHei" w:hAnsi="Microsoft JhengHei" w:eastAsia="Microsoft JhengHei" w:cs="Times New Roman"/>
                <w:sz w:val="16"/>
                <w:szCs w:val="16"/>
                <w:lang w:eastAsia="zh-CN"/>
              </w:rPr>
            </w:pPr>
            <w:r>
              <w:rPr>
                <w:rFonts w:hint="eastAsia" w:ascii="Microsoft JhengHei" w:hAnsi="Microsoft JhengHei" w:eastAsia="Microsoft JhengHei" w:cs="Times New Roman"/>
                <w:sz w:val="16"/>
                <w:szCs w:val="16"/>
                <w:lang w:val="en-US" w:eastAsia="zh-CN"/>
              </w:rPr>
              <w:t>实用英语学习</w:t>
            </w:r>
          </w:p>
        </w:tc>
        <w:tc>
          <w:tcPr>
            <w:tcW w:w="1087" w:type="dxa"/>
            <w:tcBorders>
              <w:top w:val="nil"/>
              <w:left w:val="nil"/>
              <w:bottom w:val="single" w:color="auto" w:sz="4" w:space="0"/>
              <w:right w:val="single" w:color="auto" w:sz="4" w:space="0"/>
            </w:tcBorders>
            <w:shd w:val="clear" w:color="000000" w:fill="D9EAD3"/>
            <w:vAlign w:val="center"/>
          </w:tcPr>
          <w:p>
            <w:pPr>
              <w:widowControl/>
              <w:spacing w:line="360" w:lineRule="auto"/>
              <w:jc w:val="center"/>
              <w:rPr>
                <w:rFonts w:hint="eastAsia"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lang w:val="en-US" w:eastAsia="zh-CN"/>
              </w:rPr>
              <w:t>拉曼大学</w:t>
            </w:r>
            <w:r>
              <w:rPr>
                <w:rFonts w:hint="eastAsia" w:ascii="Microsoft JhengHei" w:hAnsi="Microsoft JhengHei" w:eastAsia="Microsoft JhengHei" w:cs="Times New Roman"/>
                <w:sz w:val="16"/>
                <w:szCs w:val="16"/>
              </w:rPr>
              <w:t>本科课程体验</w:t>
            </w:r>
          </w:p>
        </w:tc>
        <w:tc>
          <w:tcPr>
            <w:tcW w:w="770" w:type="dxa"/>
            <w:tcBorders>
              <w:top w:val="nil"/>
              <w:left w:val="nil"/>
              <w:bottom w:val="single" w:color="auto" w:sz="4" w:space="0"/>
              <w:right w:val="single" w:color="auto" w:sz="4" w:space="0"/>
            </w:tcBorders>
            <w:shd w:val="clear" w:color="000000" w:fill="D9EAD3"/>
            <w:vAlign w:val="center"/>
          </w:tcPr>
          <w:p>
            <w:pPr>
              <w:widowControl/>
              <w:spacing w:line="360" w:lineRule="auto"/>
              <w:jc w:val="center"/>
              <w:rPr>
                <w:rFonts w:hint="eastAsia" w:ascii="Microsoft JhengHei" w:hAnsi="Microsoft JhengHei" w:eastAsia="Microsoft JhengHei" w:cs="Times New Roman"/>
                <w:sz w:val="16"/>
                <w:szCs w:val="16"/>
                <w:lang w:eastAsia="zh-CN"/>
              </w:rPr>
            </w:pPr>
            <w:r>
              <w:rPr>
                <w:rFonts w:hint="eastAsia" w:ascii="Microsoft JhengHei" w:hAnsi="Microsoft JhengHei" w:eastAsia="Microsoft JhengHei" w:cs="Times New Roman"/>
                <w:sz w:val="16"/>
                <w:szCs w:val="16"/>
                <w:lang w:val="en-US" w:eastAsia="zh-CN"/>
              </w:rPr>
              <w:t>金宝小镇民风体验</w:t>
            </w:r>
          </w:p>
        </w:tc>
        <w:tc>
          <w:tcPr>
            <w:tcW w:w="1404" w:type="dxa"/>
            <w:tcBorders>
              <w:top w:val="nil"/>
              <w:left w:val="nil"/>
              <w:bottom w:val="single" w:color="auto" w:sz="4" w:space="0"/>
              <w:right w:val="single" w:color="auto" w:sz="4" w:space="0"/>
            </w:tcBorders>
            <w:shd w:val="clear" w:color="000000" w:fill="F4CCCC"/>
            <w:vAlign w:val="center"/>
          </w:tcPr>
          <w:p>
            <w:pPr>
              <w:widowControl/>
              <w:spacing w:line="360" w:lineRule="auto"/>
              <w:jc w:val="center"/>
              <w:rPr>
                <w:rFonts w:hint="eastAsia"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槟城遗迹巡礼 联合国世界遗产</w:t>
            </w:r>
            <w:r>
              <w:rPr>
                <w:rFonts w:hint="eastAsia" w:ascii="Microsoft JhengHei" w:hAnsi="Microsoft JhengHei" w:eastAsia="Microsoft JhengHei" w:cs="Times New Roman"/>
                <w:sz w:val="16"/>
                <w:szCs w:val="16"/>
                <w:lang w:val="en-US" w:eastAsia="zh-CN"/>
              </w:rPr>
              <w:t>城市</w:t>
            </w:r>
          </w:p>
        </w:tc>
      </w:tr>
      <w:tr>
        <w:tblPrEx>
          <w:tblLayout w:type="fixed"/>
          <w:tblCellMar>
            <w:top w:w="0" w:type="dxa"/>
            <w:left w:w="28" w:type="dxa"/>
            <w:bottom w:w="0" w:type="dxa"/>
            <w:right w:w="28" w:type="dxa"/>
          </w:tblCellMar>
        </w:tblPrEx>
        <w:trPr>
          <w:trHeight w:val="320" w:hRule="atLeast"/>
        </w:trPr>
        <w:tc>
          <w:tcPr>
            <w:tcW w:w="729" w:type="dxa"/>
            <w:tcBorders>
              <w:top w:val="nil"/>
              <w:left w:val="single" w:color="auto" w:sz="4" w:space="0"/>
              <w:bottom w:val="single" w:color="auto" w:sz="4" w:space="0"/>
              <w:right w:val="single" w:color="auto" w:sz="4" w:space="0"/>
            </w:tcBorders>
            <w:shd w:val="clear" w:color="000000" w:fill="EAD1DC"/>
            <w:vAlign w:val="center"/>
          </w:tcPr>
          <w:p>
            <w:pPr>
              <w:widowControl/>
              <w:spacing w:line="360" w:lineRule="auto"/>
              <w:jc w:val="center"/>
              <w:rPr>
                <w:rFonts w:hint="eastAsia" w:ascii="Microsoft JhengHei" w:hAnsi="Microsoft JhengHei" w:eastAsia="宋体" w:cs="Times New Roman"/>
                <w:sz w:val="16"/>
                <w:szCs w:val="16"/>
                <w:lang w:eastAsia="zh-CN"/>
              </w:rPr>
            </w:pPr>
            <w:r>
              <w:rPr>
                <w:rFonts w:hint="eastAsia" w:ascii="Microsoft JhengHei" w:hAnsi="Microsoft JhengHei" w:eastAsia="Microsoft JhengHei" w:cs="Times New Roman"/>
                <w:sz w:val="16"/>
                <w:szCs w:val="16"/>
                <w:lang w:val="en-US" w:eastAsia="zh-CN"/>
              </w:rPr>
              <w:t>住宿</w:t>
            </w:r>
          </w:p>
        </w:tc>
        <w:tc>
          <w:tcPr>
            <w:tcW w:w="6563" w:type="dxa"/>
            <w:gridSpan w:val="6"/>
            <w:tcBorders>
              <w:top w:val="single" w:color="auto" w:sz="4" w:space="0"/>
              <w:left w:val="nil"/>
              <w:bottom w:val="single" w:color="auto" w:sz="4" w:space="0"/>
              <w:right w:val="nil"/>
            </w:tcBorders>
            <w:shd w:val="clear" w:color="000000" w:fill="D0E0E3"/>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学生宿舍</w:t>
            </w:r>
          </w:p>
        </w:tc>
        <w:tc>
          <w:tcPr>
            <w:tcW w:w="1404" w:type="dxa"/>
            <w:tcBorders>
              <w:top w:val="nil"/>
              <w:left w:val="single" w:color="auto" w:sz="4" w:space="0"/>
              <w:bottom w:val="single" w:color="auto" w:sz="4" w:space="0"/>
              <w:right w:val="single" w:color="auto" w:sz="4" w:space="0"/>
            </w:tcBorders>
            <w:shd w:val="clear" w:color="000000" w:fill="D0E0E3"/>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酒店</w:t>
            </w:r>
          </w:p>
        </w:tc>
      </w:tr>
      <w:tr>
        <w:tblPrEx>
          <w:tblLayout w:type="fixed"/>
          <w:tblCellMar>
            <w:top w:w="0" w:type="dxa"/>
            <w:left w:w="28" w:type="dxa"/>
            <w:bottom w:w="0" w:type="dxa"/>
            <w:right w:w="28" w:type="dxa"/>
          </w:tblCellMar>
        </w:tblPrEx>
        <w:trPr>
          <w:trHeight w:val="320" w:hRule="atLeast"/>
        </w:trPr>
        <w:tc>
          <w:tcPr>
            <w:tcW w:w="729" w:type="dxa"/>
            <w:tcBorders>
              <w:top w:val="nil"/>
              <w:left w:val="single" w:color="auto" w:sz="4" w:space="0"/>
              <w:bottom w:val="single" w:color="auto" w:sz="4" w:space="0"/>
              <w:right w:val="single" w:color="auto" w:sz="4" w:space="0"/>
            </w:tcBorders>
            <w:shd w:val="clear" w:color="000000" w:fill="FFF2CC"/>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周数</w:t>
            </w:r>
          </w:p>
        </w:tc>
        <w:tc>
          <w:tcPr>
            <w:tcW w:w="7967" w:type="dxa"/>
            <w:gridSpan w:val="7"/>
            <w:tcBorders>
              <w:top w:val="single" w:color="auto" w:sz="4" w:space="0"/>
              <w:left w:val="nil"/>
              <w:bottom w:val="single" w:color="auto" w:sz="4" w:space="0"/>
              <w:right w:val="single" w:color="000000" w:sz="4" w:space="0"/>
            </w:tcBorders>
            <w:shd w:val="clear" w:color="000000" w:fill="FFF2CC"/>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第二周</w:t>
            </w:r>
          </w:p>
        </w:tc>
      </w:tr>
      <w:tr>
        <w:tblPrEx>
          <w:tblLayout w:type="fixed"/>
          <w:tblCellMar>
            <w:top w:w="0" w:type="dxa"/>
            <w:left w:w="28" w:type="dxa"/>
            <w:bottom w:w="0" w:type="dxa"/>
            <w:right w:w="28" w:type="dxa"/>
          </w:tblCellMar>
        </w:tblPrEx>
        <w:trPr>
          <w:trHeight w:val="320" w:hRule="atLeast"/>
        </w:trPr>
        <w:tc>
          <w:tcPr>
            <w:tcW w:w="729" w:type="dxa"/>
            <w:tcBorders>
              <w:top w:val="nil"/>
              <w:left w:val="single" w:color="auto" w:sz="4" w:space="0"/>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天数</w:t>
            </w:r>
          </w:p>
        </w:tc>
        <w:tc>
          <w:tcPr>
            <w:tcW w:w="1445"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第八天</w:t>
            </w:r>
          </w:p>
        </w:tc>
        <w:tc>
          <w:tcPr>
            <w:tcW w:w="1087"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第九天</w:t>
            </w:r>
          </w:p>
        </w:tc>
        <w:tc>
          <w:tcPr>
            <w:tcW w:w="1087"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第十天</w:t>
            </w:r>
          </w:p>
        </w:tc>
        <w:tc>
          <w:tcPr>
            <w:tcW w:w="1087"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第十一天</w:t>
            </w:r>
          </w:p>
        </w:tc>
        <w:tc>
          <w:tcPr>
            <w:tcW w:w="1087"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第十二天</w:t>
            </w:r>
          </w:p>
        </w:tc>
        <w:tc>
          <w:tcPr>
            <w:tcW w:w="770"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第十三天</w:t>
            </w:r>
          </w:p>
        </w:tc>
        <w:tc>
          <w:tcPr>
            <w:tcW w:w="1404" w:type="dxa"/>
            <w:tcBorders>
              <w:top w:val="nil"/>
              <w:left w:val="nil"/>
              <w:bottom w:val="single" w:color="auto" w:sz="4" w:space="0"/>
              <w:right w:val="single" w:color="auto" w:sz="4" w:space="0"/>
            </w:tcBorders>
            <w:shd w:val="clear" w:color="000000" w:fill="D9D2E9"/>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第十四天</w:t>
            </w:r>
          </w:p>
        </w:tc>
      </w:tr>
      <w:tr>
        <w:tblPrEx>
          <w:tblLayout w:type="fixed"/>
          <w:tblCellMar>
            <w:top w:w="0" w:type="dxa"/>
            <w:left w:w="28" w:type="dxa"/>
            <w:bottom w:w="0" w:type="dxa"/>
            <w:right w:w="28" w:type="dxa"/>
          </w:tblCellMar>
        </w:tblPrEx>
        <w:trPr>
          <w:trHeight w:val="287" w:hRule="atLeast"/>
        </w:trPr>
        <w:tc>
          <w:tcPr>
            <w:tcW w:w="729" w:type="dxa"/>
            <w:tcBorders>
              <w:top w:val="nil"/>
              <w:left w:val="single" w:color="auto" w:sz="4" w:space="0"/>
              <w:bottom w:val="single" w:color="auto" w:sz="4" w:space="0"/>
              <w:right w:val="single" w:color="auto" w:sz="4" w:space="0"/>
            </w:tcBorders>
            <w:shd w:val="clear" w:color="000000" w:fill="EAD1DC"/>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上午</w:t>
            </w:r>
          </w:p>
        </w:tc>
        <w:tc>
          <w:tcPr>
            <w:tcW w:w="1445" w:type="dxa"/>
            <w:vMerge w:val="restart"/>
            <w:tcBorders>
              <w:top w:val="nil"/>
              <w:left w:val="single" w:color="auto" w:sz="4" w:space="0"/>
              <w:bottom w:val="single" w:color="auto" w:sz="4" w:space="0"/>
              <w:right w:val="single" w:color="auto" w:sz="4" w:space="0"/>
            </w:tcBorders>
            <w:shd w:val="clear" w:color="000000" w:fill="F4CCCC"/>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槟城遗迹巡礼 联合国世界遗产</w:t>
            </w:r>
            <w:r>
              <w:rPr>
                <w:rFonts w:hint="eastAsia" w:ascii="Microsoft JhengHei" w:hAnsi="Microsoft JhengHei" w:eastAsia="Microsoft JhengHei" w:cs="Times New Roman"/>
                <w:sz w:val="16"/>
                <w:szCs w:val="16"/>
                <w:lang w:val="en-US" w:eastAsia="zh-CN"/>
              </w:rPr>
              <w:t>城市</w:t>
            </w:r>
          </w:p>
        </w:tc>
        <w:tc>
          <w:tcPr>
            <w:tcW w:w="1087" w:type="dxa"/>
            <w:tcBorders>
              <w:top w:val="nil"/>
              <w:left w:val="nil"/>
              <w:bottom w:val="single" w:color="auto" w:sz="4" w:space="0"/>
              <w:right w:val="single" w:color="auto" w:sz="4" w:space="0"/>
            </w:tcBorders>
            <w:shd w:val="clear" w:color="000000" w:fill="9FC5E8"/>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英语课程</w:t>
            </w:r>
          </w:p>
        </w:tc>
        <w:tc>
          <w:tcPr>
            <w:tcW w:w="1087" w:type="dxa"/>
            <w:tcBorders>
              <w:top w:val="nil"/>
              <w:left w:val="nil"/>
              <w:bottom w:val="single" w:color="auto" w:sz="4" w:space="0"/>
              <w:right w:val="single" w:color="auto" w:sz="4" w:space="0"/>
            </w:tcBorders>
            <w:shd w:val="clear" w:color="000000" w:fill="9FC5E8"/>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英语课程</w:t>
            </w:r>
          </w:p>
        </w:tc>
        <w:tc>
          <w:tcPr>
            <w:tcW w:w="1087" w:type="dxa"/>
            <w:tcBorders>
              <w:top w:val="nil"/>
              <w:left w:val="nil"/>
              <w:bottom w:val="single" w:color="auto" w:sz="4" w:space="0"/>
              <w:right w:val="single" w:color="auto" w:sz="4" w:space="0"/>
            </w:tcBorders>
            <w:shd w:val="clear" w:color="000000" w:fill="9FC5E8"/>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英语课程</w:t>
            </w:r>
          </w:p>
        </w:tc>
        <w:tc>
          <w:tcPr>
            <w:tcW w:w="1087" w:type="dxa"/>
            <w:tcBorders>
              <w:top w:val="nil"/>
              <w:left w:val="nil"/>
              <w:bottom w:val="single" w:color="auto" w:sz="4" w:space="0"/>
              <w:right w:val="single" w:color="auto" w:sz="4" w:space="0"/>
            </w:tcBorders>
            <w:shd w:val="clear" w:color="000000" w:fill="9FC5E8"/>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英语课程</w:t>
            </w:r>
          </w:p>
        </w:tc>
        <w:tc>
          <w:tcPr>
            <w:tcW w:w="770" w:type="dxa"/>
            <w:vMerge w:val="restart"/>
            <w:tcBorders>
              <w:top w:val="nil"/>
              <w:left w:val="nil"/>
              <w:right w:val="single" w:color="auto" w:sz="4" w:space="0"/>
            </w:tcBorders>
            <w:shd w:val="clear" w:color="000000" w:fill="9FC5E8"/>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吉隆坡城市旅游</w:t>
            </w:r>
          </w:p>
        </w:tc>
        <w:tc>
          <w:tcPr>
            <w:tcW w:w="1404" w:type="dxa"/>
            <w:vMerge w:val="restart"/>
            <w:tcBorders>
              <w:top w:val="nil"/>
              <w:left w:val="nil"/>
              <w:right w:val="single" w:color="auto" w:sz="4" w:space="0"/>
            </w:tcBorders>
            <w:shd w:val="clear" w:color="000000" w:fill="F4CCCC"/>
            <w:vAlign w:val="center"/>
          </w:tcPr>
          <w:p>
            <w:pPr>
              <w:widowControl/>
              <w:spacing w:line="360" w:lineRule="auto"/>
              <w:jc w:val="center"/>
              <w:rPr>
                <w:rFonts w:hint="eastAsia" w:ascii="Microsoft JhengHei" w:hAnsi="Microsoft JhengHei" w:eastAsia="Microsoft JhengHei" w:cs="Times New Roman"/>
                <w:sz w:val="16"/>
                <w:szCs w:val="16"/>
                <w:lang w:val="en-US" w:eastAsia="zh-CN"/>
              </w:rPr>
            </w:pPr>
            <w:r>
              <w:rPr>
                <w:rFonts w:hint="eastAsia" w:ascii="Microsoft JhengHei" w:hAnsi="Microsoft JhengHei" w:eastAsia="Microsoft JhengHei" w:cs="Times New Roman"/>
                <w:sz w:val="16"/>
                <w:szCs w:val="16"/>
                <w:lang w:val="en-US" w:eastAsia="zh-CN"/>
              </w:rPr>
              <w:t>抵达吉隆坡机场</w:t>
            </w:r>
          </w:p>
        </w:tc>
      </w:tr>
      <w:tr>
        <w:tblPrEx>
          <w:tblLayout w:type="fixed"/>
          <w:tblCellMar>
            <w:top w:w="0" w:type="dxa"/>
            <w:left w:w="28" w:type="dxa"/>
            <w:bottom w:w="0" w:type="dxa"/>
            <w:right w:w="28" w:type="dxa"/>
          </w:tblCellMar>
        </w:tblPrEx>
        <w:trPr>
          <w:trHeight w:val="457" w:hRule="atLeast"/>
        </w:trPr>
        <w:tc>
          <w:tcPr>
            <w:tcW w:w="729" w:type="dxa"/>
            <w:tcBorders>
              <w:top w:val="nil"/>
              <w:left w:val="single" w:color="auto" w:sz="4" w:space="0"/>
              <w:bottom w:val="single" w:color="auto" w:sz="4" w:space="0"/>
              <w:right w:val="single" w:color="auto" w:sz="4" w:space="0"/>
            </w:tcBorders>
            <w:shd w:val="clear" w:color="000000" w:fill="EAD1DC"/>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下午</w:t>
            </w:r>
          </w:p>
        </w:tc>
        <w:tc>
          <w:tcPr>
            <w:tcW w:w="1445"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Microsoft JhengHei" w:hAnsi="Microsoft JhengHei" w:eastAsia="Microsoft JhengHei" w:cs="Times New Roman"/>
                <w:sz w:val="16"/>
                <w:szCs w:val="16"/>
              </w:rPr>
            </w:pPr>
          </w:p>
        </w:tc>
        <w:tc>
          <w:tcPr>
            <w:tcW w:w="1087" w:type="dxa"/>
            <w:tcBorders>
              <w:top w:val="nil"/>
              <w:left w:val="nil"/>
              <w:bottom w:val="single" w:color="auto" w:sz="4" w:space="0"/>
              <w:right w:val="single" w:color="auto" w:sz="4" w:space="0"/>
            </w:tcBorders>
            <w:shd w:val="clear" w:color="000000" w:fill="D9EAD3"/>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本地学生互动交流</w:t>
            </w:r>
          </w:p>
        </w:tc>
        <w:tc>
          <w:tcPr>
            <w:tcW w:w="1087" w:type="dxa"/>
            <w:tcBorders>
              <w:top w:val="nil"/>
              <w:left w:val="nil"/>
              <w:bottom w:val="single" w:color="auto" w:sz="4" w:space="0"/>
              <w:right w:val="single" w:color="auto" w:sz="4" w:space="0"/>
            </w:tcBorders>
            <w:shd w:val="clear" w:color="000000" w:fill="D9EAD3"/>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lang w:val="en-US" w:eastAsia="zh-CN"/>
              </w:rPr>
              <w:t>当地企业</w:t>
            </w:r>
            <w:r>
              <w:rPr>
                <w:rFonts w:hint="eastAsia" w:ascii="Microsoft JhengHei" w:hAnsi="Microsoft JhengHei" w:eastAsia="Microsoft JhengHei" w:cs="Times New Roman"/>
                <w:sz w:val="16"/>
                <w:szCs w:val="16"/>
              </w:rPr>
              <w:t>单位参访</w:t>
            </w:r>
          </w:p>
        </w:tc>
        <w:tc>
          <w:tcPr>
            <w:tcW w:w="1087" w:type="dxa"/>
            <w:tcBorders>
              <w:top w:val="nil"/>
              <w:left w:val="nil"/>
              <w:bottom w:val="single" w:color="auto" w:sz="4" w:space="0"/>
              <w:right w:val="single" w:color="auto" w:sz="4" w:space="0"/>
            </w:tcBorders>
            <w:shd w:val="clear" w:color="000000" w:fill="D9EAD3"/>
            <w:vAlign w:val="center"/>
          </w:tcPr>
          <w:p>
            <w:pPr>
              <w:widowControl/>
              <w:spacing w:line="360" w:lineRule="auto"/>
              <w:jc w:val="center"/>
              <w:rPr>
                <w:rFonts w:hint="eastAsia" w:ascii="Microsoft JhengHei" w:hAnsi="Microsoft JhengHei" w:eastAsia="Microsoft JhengHei" w:cs="Times New Roman"/>
                <w:sz w:val="16"/>
                <w:szCs w:val="16"/>
                <w:lang w:eastAsia="zh-CN"/>
              </w:rPr>
            </w:pPr>
            <w:r>
              <w:rPr>
                <w:rFonts w:hint="eastAsia" w:ascii="Microsoft JhengHei" w:hAnsi="Microsoft JhengHei" w:eastAsia="Microsoft JhengHei" w:cs="Times New Roman"/>
                <w:sz w:val="16"/>
                <w:szCs w:val="16"/>
                <w:lang w:val="en-US" w:eastAsia="zh-CN"/>
              </w:rPr>
              <w:t>文化技艺工作坊</w:t>
            </w:r>
          </w:p>
        </w:tc>
        <w:tc>
          <w:tcPr>
            <w:tcW w:w="1087" w:type="dxa"/>
            <w:tcBorders>
              <w:top w:val="nil"/>
              <w:left w:val="nil"/>
              <w:bottom w:val="single" w:color="auto" w:sz="4" w:space="0"/>
              <w:right w:val="single" w:color="auto" w:sz="4" w:space="0"/>
            </w:tcBorders>
            <w:shd w:val="clear" w:color="000000" w:fill="D9EAD3"/>
            <w:vAlign w:val="center"/>
          </w:tcPr>
          <w:p>
            <w:pPr>
              <w:widowControl/>
              <w:spacing w:line="360" w:lineRule="auto"/>
              <w:jc w:val="center"/>
              <w:rPr>
                <w:rFonts w:hint="eastAsia" w:ascii="Microsoft JhengHei" w:hAnsi="Microsoft JhengHei" w:eastAsia="Microsoft JhengHei" w:cs="Times New Roman"/>
                <w:sz w:val="16"/>
                <w:szCs w:val="16"/>
                <w:lang w:eastAsia="zh-CN"/>
              </w:rPr>
            </w:pPr>
            <w:r>
              <w:rPr>
                <w:rFonts w:hint="eastAsia" w:ascii="Microsoft JhengHei" w:hAnsi="Microsoft JhengHei" w:eastAsia="Microsoft JhengHei" w:cs="Times New Roman"/>
                <w:sz w:val="16"/>
                <w:szCs w:val="16"/>
                <w:lang w:val="en-US" w:eastAsia="zh-CN"/>
              </w:rPr>
              <w:t>公开演讲课程</w:t>
            </w:r>
          </w:p>
        </w:tc>
        <w:tc>
          <w:tcPr>
            <w:tcW w:w="770" w:type="dxa"/>
            <w:vMerge w:val="continue"/>
            <w:tcBorders>
              <w:left w:val="nil"/>
              <w:bottom w:val="single" w:color="auto" w:sz="4" w:space="0"/>
              <w:right w:val="single" w:color="auto" w:sz="4" w:space="0"/>
            </w:tcBorders>
            <w:shd w:val="clear" w:color="000000" w:fill="D9EAD3"/>
            <w:vAlign w:val="center"/>
          </w:tcPr>
          <w:p>
            <w:pPr>
              <w:widowControl/>
              <w:spacing w:line="360" w:lineRule="auto"/>
              <w:jc w:val="center"/>
              <w:rPr>
                <w:rFonts w:ascii="Microsoft JhengHei" w:hAnsi="Microsoft JhengHei" w:eastAsia="Microsoft JhengHei" w:cs="Times New Roman"/>
                <w:sz w:val="16"/>
                <w:szCs w:val="16"/>
              </w:rPr>
            </w:pPr>
          </w:p>
        </w:tc>
        <w:tc>
          <w:tcPr>
            <w:tcW w:w="1404" w:type="dxa"/>
            <w:vMerge w:val="continue"/>
            <w:tcBorders>
              <w:left w:val="nil"/>
              <w:bottom w:val="single" w:color="auto" w:sz="4" w:space="0"/>
              <w:right w:val="single" w:color="auto" w:sz="4" w:space="0"/>
            </w:tcBorders>
            <w:shd w:val="clear" w:color="000000" w:fill="F4CCCC"/>
            <w:vAlign w:val="center"/>
          </w:tcPr>
          <w:p>
            <w:pPr>
              <w:widowControl/>
              <w:spacing w:line="360" w:lineRule="auto"/>
              <w:jc w:val="center"/>
              <w:rPr>
                <w:rFonts w:hint="eastAsia" w:ascii="Microsoft JhengHei" w:hAnsi="Microsoft JhengHei" w:eastAsia="Microsoft JhengHei" w:cs="Times New Roman"/>
                <w:sz w:val="16"/>
                <w:szCs w:val="16"/>
              </w:rPr>
            </w:pPr>
          </w:p>
        </w:tc>
      </w:tr>
      <w:tr>
        <w:tblPrEx>
          <w:tblLayout w:type="fixed"/>
          <w:tblCellMar>
            <w:top w:w="0" w:type="dxa"/>
            <w:left w:w="28" w:type="dxa"/>
            <w:bottom w:w="0" w:type="dxa"/>
            <w:right w:w="28" w:type="dxa"/>
          </w:tblCellMar>
        </w:tblPrEx>
        <w:trPr>
          <w:trHeight w:val="320" w:hRule="atLeast"/>
        </w:trPr>
        <w:tc>
          <w:tcPr>
            <w:tcW w:w="729" w:type="dxa"/>
            <w:tcBorders>
              <w:top w:val="nil"/>
              <w:left w:val="single" w:color="auto" w:sz="4" w:space="0"/>
              <w:bottom w:val="single" w:color="auto" w:sz="4" w:space="0"/>
              <w:right w:val="single" w:color="auto" w:sz="4" w:space="0"/>
            </w:tcBorders>
            <w:shd w:val="clear" w:color="000000" w:fill="EAD1DC"/>
            <w:vAlign w:val="center"/>
          </w:tcPr>
          <w:p>
            <w:pPr>
              <w:widowControl/>
              <w:spacing w:line="360" w:lineRule="auto"/>
              <w:jc w:val="center"/>
              <w:rPr>
                <w:rFonts w:hint="eastAsia" w:ascii="Microsoft JhengHei" w:hAnsi="Microsoft JhengHei" w:eastAsia="宋体" w:cs="Times New Roman"/>
                <w:sz w:val="16"/>
                <w:szCs w:val="16"/>
                <w:lang w:eastAsia="zh-CN"/>
              </w:rPr>
            </w:pPr>
            <w:r>
              <w:rPr>
                <w:rFonts w:hint="eastAsia" w:ascii="Microsoft JhengHei" w:hAnsi="Microsoft JhengHei" w:eastAsia="Microsoft JhengHei" w:cs="Times New Roman"/>
                <w:sz w:val="16"/>
                <w:szCs w:val="16"/>
                <w:lang w:val="en-US" w:eastAsia="zh-CN"/>
              </w:rPr>
              <w:t>住宿</w:t>
            </w:r>
          </w:p>
        </w:tc>
        <w:tc>
          <w:tcPr>
            <w:tcW w:w="5793" w:type="dxa"/>
            <w:gridSpan w:val="5"/>
            <w:tcBorders>
              <w:top w:val="single" w:color="auto" w:sz="4" w:space="0"/>
              <w:left w:val="nil"/>
              <w:bottom w:val="single" w:color="auto" w:sz="4" w:space="0"/>
              <w:right w:val="single" w:color="000000" w:sz="4" w:space="0"/>
            </w:tcBorders>
            <w:shd w:val="clear" w:color="000000" w:fill="D0E0E3"/>
            <w:vAlign w:val="center"/>
          </w:tcPr>
          <w:p>
            <w:pPr>
              <w:widowControl/>
              <w:spacing w:line="360" w:lineRule="auto"/>
              <w:jc w:val="center"/>
              <w:rPr>
                <w:rFonts w:ascii="Microsoft JhengHei" w:hAnsi="Microsoft JhengHei" w:eastAsia="Microsoft JhengHei" w:cs="Times New Roman"/>
                <w:sz w:val="16"/>
                <w:szCs w:val="16"/>
              </w:rPr>
            </w:pPr>
            <w:r>
              <w:rPr>
                <w:rFonts w:hint="eastAsia" w:ascii="Microsoft JhengHei" w:hAnsi="Microsoft JhengHei" w:eastAsia="Microsoft JhengHei" w:cs="Times New Roman"/>
                <w:sz w:val="16"/>
                <w:szCs w:val="16"/>
              </w:rPr>
              <w:t>学生宿舍</w:t>
            </w:r>
          </w:p>
        </w:tc>
        <w:tc>
          <w:tcPr>
            <w:tcW w:w="770" w:type="dxa"/>
            <w:tcBorders>
              <w:top w:val="single" w:color="auto" w:sz="4" w:space="0"/>
              <w:left w:val="nil"/>
              <w:bottom w:val="single" w:color="auto" w:sz="4" w:space="0"/>
              <w:right w:val="single" w:color="000000" w:sz="4" w:space="0"/>
            </w:tcBorders>
            <w:shd w:val="clear" w:color="000000" w:fill="D0E0E3"/>
            <w:vAlign w:val="center"/>
          </w:tcPr>
          <w:p>
            <w:pPr>
              <w:widowControl/>
              <w:spacing w:line="360" w:lineRule="auto"/>
              <w:jc w:val="center"/>
            </w:pPr>
            <w:r>
              <w:rPr>
                <w:rFonts w:hint="eastAsia" w:ascii="Microsoft JhengHei" w:hAnsi="Microsoft JhengHei" w:eastAsia="Microsoft JhengHei" w:cs="Times New Roman"/>
                <w:sz w:val="16"/>
                <w:szCs w:val="16"/>
              </w:rPr>
              <w:t>酒店</w:t>
            </w:r>
          </w:p>
        </w:tc>
        <w:tc>
          <w:tcPr>
            <w:tcW w:w="1404" w:type="dxa"/>
            <w:tcBorders>
              <w:top w:val="single" w:color="auto" w:sz="4" w:space="0"/>
              <w:left w:val="nil"/>
              <w:bottom w:val="single" w:color="auto" w:sz="4" w:space="0"/>
              <w:right w:val="single" w:color="000000" w:sz="4" w:space="0"/>
            </w:tcBorders>
            <w:shd w:val="clear" w:color="000000" w:fill="D0E0E3"/>
            <w:vAlign w:val="center"/>
          </w:tcPr>
          <w:p>
            <w:pPr>
              <w:widowControl/>
              <w:spacing w:line="360" w:lineRule="auto"/>
              <w:jc w:val="center"/>
              <w:rPr>
                <w:rFonts w:hint="eastAsia" w:ascii="Microsoft JhengHei" w:hAnsi="Microsoft JhengHei" w:eastAsia="Microsoft JhengHei" w:cs="Times New Roman"/>
                <w:sz w:val="16"/>
                <w:szCs w:val="16"/>
                <w:lang w:val="en-US" w:eastAsia="zh-CN"/>
              </w:rPr>
            </w:pPr>
            <w:r>
              <w:rPr>
                <w:rFonts w:hint="eastAsia" w:ascii="Microsoft JhengHei" w:hAnsi="Microsoft JhengHei" w:eastAsia="Microsoft JhengHei" w:cs="Times New Roman"/>
                <w:sz w:val="16"/>
                <w:szCs w:val="16"/>
                <w:lang w:val="en-US" w:eastAsia="zh-CN"/>
              </w:rPr>
              <w:t>赋归</w:t>
            </w:r>
          </w:p>
        </w:tc>
      </w:tr>
      <w:bookmarkEnd w:id="3"/>
    </w:tbl>
    <w:p>
      <w:pPr>
        <w:pStyle w:val="10"/>
        <w:spacing w:line="360" w:lineRule="auto"/>
        <w:jc w:val="both"/>
        <w:rPr>
          <w:rFonts w:hint="eastAsia" w:ascii="宋体" w:hAnsi="宋体" w:eastAsia="宋体"/>
          <w:b/>
          <w:sz w:val="22"/>
        </w:rPr>
      </w:pPr>
      <w:r>
        <w:rPr>
          <w:rFonts w:hint="eastAsia" w:ascii="宋体" w:hAnsi="宋体" w:eastAsia="宋体" w:cs="Arial Unicode MS"/>
          <w:color w:val="FF0000"/>
          <w:sz w:val="18"/>
          <w:szCs w:val="18"/>
        </w:rPr>
        <w:t>＊行程活动可能受天候等不可抗力因素影响而调整，拉曼大学与云为教育科技保留</w:t>
      </w:r>
      <w:r>
        <w:rPr>
          <w:rFonts w:hint="eastAsia" w:ascii="宋体" w:hAnsi="宋体" w:eastAsia="宋体" w:cs="Arial Unicode MS"/>
          <w:color w:val="FF0000"/>
          <w:sz w:val="18"/>
          <w:szCs w:val="18"/>
          <w:lang w:eastAsia="zh-CN"/>
        </w:rPr>
        <w:t>行程变更</w:t>
      </w:r>
      <w:r>
        <w:rPr>
          <w:rFonts w:hint="eastAsia" w:ascii="宋体" w:hAnsi="宋体" w:eastAsia="宋体" w:cs="Arial Unicode MS"/>
          <w:color w:val="FF0000"/>
          <w:sz w:val="18"/>
          <w:szCs w:val="18"/>
        </w:rPr>
        <w:t>之权利</w:t>
      </w:r>
    </w:p>
    <w:p>
      <w:pPr>
        <w:pStyle w:val="4"/>
        <w:spacing w:before="0" w:beforeAutospacing="0" w:after="0" w:afterAutospacing="0" w:line="360" w:lineRule="auto"/>
        <w:jc w:val="both"/>
        <w:rPr>
          <w:rFonts w:hint="eastAsia" w:ascii="宋体" w:hAnsi="宋体" w:eastAsia="宋体"/>
          <w:b/>
          <w:sz w:val="22"/>
        </w:rPr>
      </w:pPr>
    </w:p>
    <w:p>
      <w:pPr>
        <w:pStyle w:val="10"/>
        <w:spacing w:line="360" w:lineRule="auto"/>
        <w:jc w:val="both"/>
        <w:rPr>
          <w:rFonts w:hint="eastAsia" w:ascii="宋体" w:hAnsi="宋体" w:eastAsia="宋体" w:cs="宋体"/>
          <w:b/>
          <w:bCs/>
          <w:lang w:val="en-US" w:eastAsia="zh-CN"/>
        </w:rPr>
      </w:pPr>
      <w:r>
        <w:rPr>
          <w:rFonts w:hint="eastAsia" w:ascii="宋体" w:hAnsi="宋体" w:eastAsia="宋体"/>
          <w:b/>
          <w:sz w:val="22"/>
          <w:lang w:val="en-US" w:eastAsia="zh-CN"/>
        </w:rPr>
        <w:t>四、</w:t>
      </w:r>
      <w:r>
        <w:rPr>
          <w:rFonts w:hint="eastAsia" w:ascii="宋体" w:hAnsi="宋体" w:eastAsia="宋体" w:cs="宋体"/>
          <w:b/>
          <w:bCs/>
          <w:lang w:val="en-US" w:eastAsia="zh-CN"/>
        </w:rPr>
        <w:t>项目费用：</w:t>
      </w:r>
    </w:p>
    <w:p>
      <w:pPr>
        <w:numPr>
          <w:ilvl w:val="0"/>
          <w:numId w:val="0"/>
        </w:numPr>
        <w:spacing w:line="360" w:lineRule="auto"/>
        <w:contextualSpacing/>
        <w:jc w:val="left"/>
        <w:rPr>
          <w:u w:val="none"/>
        </w:rPr>
      </w:pPr>
      <w:r>
        <w:rPr>
          <w:rFonts w:hint="eastAsia" w:ascii="华文细黑" w:hAnsi="华文细黑" w:eastAsia="华文细黑" w:cs="华文细黑"/>
          <w:b/>
          <w:bCs/>
          <w:sz w:val="24"/>
          <w:szCs w:val="28"/>
          <w:lang w:val="en-US" w:eastAsia="zh-CN"/>
        </w:rPr>
        <w:t>项目费人民币10，980</w:t>
      </w:r>
      <w:r>
        <w:rPr>
          <w:rFonts w:hint="eastAsia" w:ascii="华文细黑" w:hAnsi="华文细黑" w:eastAsia="华文细黑" w:cs="华文细黑"/>
          <w:b w:val="0"/>
          <w:bCs w:val="0"/>
          <w:sz w:val="24"/>
          <w:szCs w:val="28"/>
          <w:lang w:val="en-US" w:eastAsia="zh-CN"/>
        </w:rPr>
        <w:t>元，</w:t>
      </w:r>
      <w:r>
        <w:rPr>
          <w:rFonts w:hint="eastAsia" w:ascii="宋体" w:hAnsi="宋体" w:eastAsia="宋体" w:cs="宋体"/>
          <w:b w:val="0"/>
          <w:bCs w:val="0"/>
          <w:u w:val="none"/>
          <w:lang w:val="en-US" w:eastAsia="zh-CN"/>
        </w:rPr>
        <w:t>费用包括：</w:t>
      </w:r>
      <w:r>
        <w:rPr>
          <w:rFonts w:ascii="宋体" w:hAnsi="宋体" w:eastAsia="宋体" w:cs="宋体"/>
        </w:rPr>
        <w:t>包括学费、住宿费、餐费</w:t>
      </w:r>
      <w:r>
        <w:rPr>
          <w:rFonts w:hint="eastAsia" w:ascii="宋体" w:hAnsi="宋体" w:eastAsia="宋体" w:cs="宋体"/>
          <w:lang w:eastAsia="zh-CN"/>
        </w:rPr>
        <w:t>、</w:t>
      </w:r>
      <w:r>
        <w:rPr>
          <w:rFonts w:hint="eastAsia" w:ascii="宋体" w:hAnsi="宋体" w:eastAsia="宋体" w:cs="宋体"/>
          <w:lang w:val="en-US" w:eastAsia="zh-CN"/>
        </w:rPr>
        <w:t>语言</w:t>
      </w:r>
      <w:r>
        <w:rPr>
          <w:rFonts w:ascii="宋体" w:hAnsi="宋体" w:eastAsia="宋体" w:cs="宋体"/>
        </w:rPr>
        <w:t>文化课程、校外参访、</w:t>
      </w:r>
      <w:r>
        <w:rPr>
          <w:rFonts w:hint="eastAsia" w:ascii="宋体" w:hAnsi="宋体" w:eastAsia="宋体" w:cs="宋体"/>
          <w:lang w:val="en-US" w:eastAsia="zh-CN"/>
        </w:rPr>
        <w:t>景点游览、</w:t>
      </w:r>
      <w:r>
        <w:rPr>
          <w:rFonts w:ascii="宋体" w:hAnsi="宋体" w:eastAsia="宋体" w:cs="宋体"/>
        </w:rPr>
        <w:t>网络、校园设施、</w:t>
      </w:r>
      <w:r>
        <w:rPr>
          <w:rFonts w:hint="eastAsia" w:ascii="宋体" w:hAnsi="宋体" w:eastAsia="宋体" w:cs="宋体"/>
          <w:lang w:val="en-US" w:eastAsia="zh-CN"/>
        </w:rPr>
        <w:t>海外及</w:t>
      </w:r>
      <w:r>
        <w:rPr>
          <w:rFonts w:ascii="宋体" w:hAnsi="宋体" w:eastAsia="宋体" w:cs="宋体"/>
        </w:rPr>
        <w:t>当地保险</w:t>
      </w:r>
      <w:r>
        <w:rPr>
          <w:rFonts w:hint="eastAsia" w:ascii="宋体" w:hAnsi="宋体" w:eastAsia="宋体" w:cs="宋体"/>
          <w:lang w:eastAsia="zh-CN"/>
        </w:rPr>
        <w:t>、</w:t>
      </w:r>
      <w:r>
        <w:rPr>
          <w:rFonts w:hint="eastAsia" w:ascii="宋体" w:hAnsi="宋体" w:eastAsia="宋体" w:cs="宋体"/>
          <w:lang w:val="en-US" w:eastAsia="zh-CN"/>
        </w:rPr>
        <w:t>游学行程中交通费</w:t>
      </w:r>
      <w:r>
        <w:rPr>
          <w:rFonts w:ascii="宋体" w:hAnsi="宋体" w:eastAsia="宋体" w:cs="宋体"/>
        </w:rPr>
        <w:t xml:space="preserve">。 </w:t>
      </w:r>
    </w:p>
    <w:p>
      <w:pPr>
        <w:numPr>
          <w:ilvl w:val="0"/>
          <w:numId w:val="0"/>
        </w:numPr>
        <w:spacing w:line="360" w:lineRule="auto"/>
        <w:contextualSpacing/>
        <w:jc w:val="left"/>
        <w:rPr>
          <w:u w:val="none"/>
        </w:rPr>
      </w:pPr>
      <w:r>
        <w:rPr>
          <w:rFonts w:hint="eastAsia" w:ascii="宋体" w:hAnsi="宋体" w:eastAsia="宋体" w:cs="宋体"/>
          <w:u w:val="none"/>
          <w:lang w:val="en-US" w:eastAsia="zh-CN"/>
        </w:rPr>
        <w:t>费用</w:t>
      </w:r>
      <w:r>
        <w:rPr>
          <w:rFonts w:ascii="宋体" w:hAnsi="宋体" w:eastAsia="宋体" w:cs="宋体"/>
          <w:u w:val="none"/>
        </w:rPr>
        <w:t>不包括</w:t>
      </w:r>
      <w:r>
        <w:rPr>
          <w:rFonts w:hint="eastAsia" w:ascii="宋体" w:hAnsi="宋体" w:eastAsia="宋体" w:cs="宋体"/>
          <w:u w:val="none"/>
          <w:lang w:eastAsia="zh-CN"/>
        </w:rPr>
        <w:t>：</w:t>
      </w:r>
      <w:r>
        <w:rPr>
          <w:rFonts w:hint="eastAsia" w:ascii="宋体" w:hAnsi="宋体" w:eastAsia="宋体" w:cs="宋体"/>
          <w:u w:val="none"/>
          <w:lang w:val="en-US" w:eastAsia="zh-CN"/>
        </w:rPr>
        <w:t>往返机票及其他交通费用、</w:t>
      </w:r>
      <w:r>
        <w:rPr>
          <w:rFonts w:ascii="宋体" w:hAnsi="宋体" w:eastAsia="宋体" w:cs="宋体"/>
        </w:rPr>
        <w:t>签证费、其他个人花费。</w:t>
      </w:r>
    </w:p>
    <w:p>
      <w:pPr>
        <w:pStyle w:val="10"/>
        <w:numPr>
          <w:ilvl w:val="0"/>
          <w:numId w:val="0"/>
        </w:numPr>
        <w:spacing w:line="360" w:lineRule="auto"/>
        <w:jc w:val="both"/>
        <w:rPr>
          <w:rFonts w:hint="eastAsia" w:ascii="宋体" w:hAnsi="宋体" w:eastAsia="宋体" w:cs="宋体"/>
          <w:b/>
          <w:bCs/>
          <w:lang w:val="en-US" w:eastAsia="zh-CN"/>
        </w:rPr>
      </w:pPr>
      <w:r>
        <w:rPr>
          <w:rFonts w:hint="eastAsia" w:ascii="宋体" w:hAnsi="宋体" w:eastAsia="宋体" w:cs="宋体"/>
          <w:b/>
          <w:bCs/>
          <w:lang w:val="en-US" w:eastAsia="zh-CN"/>
        </w:rPr>
        <w:t>六、报名方式与日期</w:t>
      </w:r>
    </w:p>
    <w:bookmarkEnd w:id="1"/>
    <w:bookmarkEnd w:id="2"/>
    <w:p>
      <w:pPr>
        <w:pStyle w:val="10"/>
        <w:numPr>
          <w:ilvl w:val="0"/>
          <w:numId w:val="0"/>
        </w:numPr>
        <w:spacing w:line="360" w:lineRule="auto"/>
        <w:jc w:val="both"/>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报名：</w:t>
      </w:r>
    </w:p>
    <w:p>
      <w:pPr>
        <w:pStyle w:val="10"/>
        <w:numPr>
          <w:ilvl w:val="0"/>
          <w:numId w:val="1"/>
        </w:numPr>
        <w:spacing w:line="360" w:lineRule="auto"/>
        <w:ind w:left="420" w:leftChars="0" w:hanging="420" w:firstLineChars="0"/>
        <w:jc w:val="both"/>
        <w:rPr>
          <w:rFonts w:hint="eastAsia"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sz w:val="24"/>
          <w:szCs w:val="24"/>
          <w:lang w:val="en-US" w:eastAsia="zh-CN"/>
        </w:rPr>
        <w:t>拨打我们的电话：  13682635996  0755-22678020</w:t>
      </w:r>
    </w:p>
    <w:p>
      <w:pPr>
        <w:pStyle w:val="10"/>
        <w:numPr>
          <w:ilvl w:val="0"/>
          <w:numId w:val="1"/>
        </w:numPr>
        <w:spacing w:line="360" w:lineRule="auto"/>
        <w:ind w:left="420" w:leftChars="0" w:hanging="420" w:firstLineChars="0"/>
        <w:jc w:val="both"/>
        <w:rPr>
          <w:rFonts w:hint="eastAsia"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sz w:val="24"/>
          <w:szCs w:val="24"/>
          <w:lang w:val="en-US" w:eastAsia="zh-CN"/>
        </w:rPr>
        <w:t>联系人：张老师</w:t>
      </w:r>
    </w:p>
    <w:p>
      <w:pPr>
        <w:pStyle w:val="10"/>
        <w:numPr>
          <w:ilvl w:val="0"/>
          <w:numId w:val="1"/>
        </w:numPr>
        <w:spacing w:line="360" w:lineRule="auto"/>
        <w:ind w:left="420" w:leftChars="0" w:hanging="420" w:firstLineChars="0"/>
        <w:jc w:val="both"/>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val="0"/>
          <w:bCs w:val="0"/>
          <w:sz w:val="24"/>
          <w:szCs w:val="24"/>
          <w:lang w:val="en-US" w:eastAsia="zh-CN"/>
        </w:rPr>
        <w:t>发送电子邮件：</w:t>
      </w:r>
      <w:r>
        <w:rPr>
          <w:rFonts w:hint="eastAsia" w:ascii="华文细黑" w:hAnsi="华文细黑" w:eastAsia="华文细黑" w:cs="华文细黑"/>
          <w:b w:val="0"/>
          <w:bCs w:val="0"/>
          <w:sz w:val="24"/>
          <w:szCs w:val="24"/>
          <w:lang w:val="en-US" w:eastAsia="zh-CN"/>
        </w:rPr>
        <w:fldChar w:fldCharType="begin"/>
      </w:r>
      <w:r>
        <w:rPr>
          <w:rFonts w:hint="eastAsia" w:ascii="华文细黑" w:hAnsi="华文细黑" w:eastAsia="华文细黑" w:cs="华文细黑"/>
          <w:b w:val="0"/>
          <w:bCs w:val="0"/>
          <w:sz w:val="24"/>
          <w:szCs w:val="24"/>
          <w:lang w:val="en-US" w:eastAsia="zh-CN"/>
        </w:rPr>
        <w:instrText xml:space="preserve"> HYPERLINK "mailto:service@invoedu.com" </w:instrText>
      </w:r>
      <w:r>
        <w:rPr>
          <w:rFonts w:hint="eastAsia" w:ascii="华文细黑" w:hAnsi="华文细黑" w:eastAsia="华文细黑" w:cs="华文细黑"/>
          <w:b w:val="0"/>
          <w:bCs w:val="0"/>
          <w:sz w:val="24"/>
          <w:szCs w:val="24"/>
          <w:lang w:val="en-US" w:eastAsia="zh-CN"/>
        </w:rPr>
        <w:fldChar w:fldCharType="separate"/>
      </w:r>
      <w:r>
        <w:rPr>
          <w:rStyle w:val="8"/>
          <w:rFonts w:hint="eastAsia" w:ascii="华文细黑" w:hAnsi="华文细黑" w:eastAsia="华文细黑" w:cs="华文细黑"/>
          <w:b w:val="0"/>
          <w:bCs w:val="0"/>
          <w:sz w:val="24"/>
          <w:szCs w:val="24"/>
          <w:lang w:val="en-US" w:eastAsia="zh-CN"/>
        </w:rPr>
        <w:t>service@invoedu.com</w:t>
      </w:r>
      <w:r>
        <w:rPr>
          <w:rFonts w:hint="eastAsia" w:ascii="华文细黑" w:hAnsi="华文细黑" w:eastAsia="华文细黑" w:cs="华文细黑"/>
          <w:b w:val="0"/>
          <w:bCs w:val="0"/>
          <w:sz w:val="24"/>
          <w:szCs w:val="24"/>
          <w:lang w:val="en-US" w:eastAsia="zh-CN"/>
        </w:rPr>
        <w:fldChar w:fldCharType="end"/>
      </w:r>
    </w:p>
    <w:p>
      <w:pPr>
        <w:pStyle w:val="10"/>
        <w:numPr>
          <w:ilvl w:val="0"/>
          <w:numId w:val="0"/>
        </w:numPr>
        <w:spacing w:line="360" w:lineRule="auto"/>
        <w:ind w:leftChars="0" w:firstLine="480" w:firstLineChars="200"/>
        <w:jc w:val="both"/>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val="0"/>
          <w:bCs w:val="0"/>
          <w:sz w:val="24"/>
          <w:szCs w:val="24"/>
          <w:lang w:val="en-US" w:eastAsia="zh-CN"/>
        </w:rPr>
        <w:t xml:space="preserve">              743654519@qq.com</w:t>
      </w:r>
    </w:p>
    <w:p>
      <w:pPr>
        <w:pStyle w:val="10"/>
        <w:numPr>
          <w:ilvl w:val="0"/>
          <w:numId w:val="0"/>
        </w:numPr>
        <w:spacing w:line="360" w:lineRule="auto"/>
        <w:jc w:val="both"/>
        <w:rPr>
          <w:rFonts w:hint="eastAsia" w:ascii="华文细黑" w:hAnsi="华文细黑" w:eastAsia="华文细黑" w:cs="华文细黑"/>
          <w:sz w:val="24"/>
          <w:szCs w:val="24"/>
        </w:rPr>
      </w:pPr>
      <w:r>
        <w:rPr>
          <w:rFonts w:hint="eastAsia" w:ascii="华文细黑" w:hAnsi="华文细黑" w:eastAsia="华文细黑" w:cs="华文细黑"/>
          <w:b/>
          <w:bCs/>
          <w:sz w:val="24"/>
          <w:szCs w:val="24"/>
          <w:lang w:val="en-US" w:eastAsia="zh-CN"/>
        </w:rPr>
        <w:t>时间：</w:t>
      </w:r>
      <w:r>
        <w:rPr>
          <w:rFonts w:hint="eastAsia" w:ascii="华文细黑" w:hAnsi="华文细黑" w:eastAsia="华文细黑" w:cs="华文细黑"/>
          <w:b w:val="0"/>
          <w:bCs w:val="0"/>
          <w:sz w:val="24"/>
          <w:szCs w:val="24"/>
          <w:lang w:val="en-US" w:eastAsia="zh-CN"/>
        </w:rPr>
        <w:t>即日起至2017年 11月30 日截止</w:t>
      </w:r>
    </w:p>
    <w:p>
      <w:pPr>
        <w:pStyle w:val="10"/>
        <w:numPr>
          <w:ilvl w:val="0"/>
          <w:numId w:val="0"/>
        </w:numPr>
        <w:spacing w:line="360" w:lineRule="auto"/>
        <w:jc w:val="both"/>
      </w:pPr>
    </w:p>
    <w:sectPr>
      <w:headerReference r:id="rId3" w:type="default"/>
      <w:footerReference r:id="rId4" w:type="default"/>
      <w:pgSz w:w="11909" w:h="16834"/>
      <w:pgMar w:top="1440" w:right="1440" w:bottom="1440" w:left="1440" w:header="720" w:footer="720" w:gutter="0"/>
      <w:pgNumType w:start="1"/>
      <w:cols w:equalWidth="0" w:num="1">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PMingLiU">
    <w:altName w:val="Sitka Text"/>
    <w:panose1 w:val="02020500000000000000"/>
    <w:charset w:val="51"/>
    <w:family w:val="auto"/>
    <w:pitch w:val="default"/>
    <w:sig w:usb0="00000000" w:usb1="00000000" w:usb2="00000016" w:usb3="00000000" w:csb0="00100001" w:csb1="00000000"/>
  </w:font>
  <w:font w:name="Heiti TC Light">
    <w:altName w:val="Microsoft YaHei UI Light"/>
    <w:panose1 w:val="02000000000000000000"/>
    <w:charset w:val="51"/>
    <w:family w:val="auto"/>
    <w:pitch w:val="default"/>
    <w:sig w:usb0="00000000" w:usb1="00000000" w:usb2="00000010" w:usb3="00000000" w:csb0="003E0000" w:csb1="00000000"/>
  </w:font>
  <w:font w:name="Times">
    <w:altName w:val="Times New Roman"/>
    <w:panose1 w:val="02000500000000000000"/>
    <w:charset w:val="00"/>
    <w:family w:val="auto"/>
    <w:pitch w:val="default"/>
    <w:sig w:usb0="00000000" w:usb1="00000000" w:usb2="00000000" w:usb3="00000000" w:csb0="00000001" w:csb1="00000000"/>
  </w:font>
  <w:font w:name="Microsoft JhengHei">
    <w:panose1 w:val="020B0604030504040204"/>
    <w:charset w:val="51"/>
    <w:family w:val="auto"/>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Sitka Text">
    <w:panose1 w:val="02000505000000020004"/>
    <w:charset w:val="00"/>
    <w:family w:val="auto"/>
    <w:pitch w:val="default"/>
    <w:sig w:usb0="A00002EF" w:usb1="4000204B" w:usb2="00000000" w:usb3="00000000" w:csb0="2000019F" w:csb1="00000000"/>
  </w:font>
  <w:font w:name="Microsoft YaHei UI Light">
    <w:panose1 w:val="020B0502040204020203"/>
    <w:charset w:val="86"/>
    <w:family w:val="auto"/>
    <w:pitch w:val="default"/>
    <w:sig w:usb0="A00002BF" w:usb1="28CF0010" w:usb2="00000016" w:usb3="00000000" w:csb0="0004000F"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86"/>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黑体">
    <w:panose1 w:val="02010609060101010101"/>
    <w:charset w:val="50"/>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A00002BF" w:usb1="28CF0010" w:usb2="00000016" w:usb3="00000000" w:csb0="0004000F" w:csb1="00000000"/>
  </w:font>
  <w:font w:name="微软雅黑">
    <w:panose1 w:val="020B0503020204020204"/>
    <w:charset w:val="86"/>
    <w:family w:val="auto"/>
    <w:pitch w:val="default"/>
    <w:sig w:usb0="80000287" w:usb1="28C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筑紫A丸ゴシック レギュラー">
    <w:altName w:val="Segoe Print"/>
    <w:panose1 w:val="00000000000000000000"/>
    <w:charset w:val="51"/>
    <w:family w:val="roman"/>
    <w:pitch w:val="default"/>
    <w:sig w:usb0="00000000" w:usb1="00000000" w:usb2="00000000" w:usb3="00000000" w:csb0="00000000" w:csb1="00000000"/>
  </w:font>
  <w:font w:name="Lantinghei SC Extralight">
    <w:altName w:val="Microsoft YaHei UI Light"/>
    <w:panose1 w:val="02000000000000000000"/>
    <w:charset w:val="00"/>
    <w:family w:val="auto"/>
    <w:pitch w:val="default"/>
    <w:sig w:usb0="00000000" w:usb1="00000000" w:usb2="00000000" w:usb3="00000000" w:csb0="00040001" w:csb1="00000000"/>
  </w:font>
  <w:font w:name="PMingLiU">
    <w:altName w:val="宋体"/>
    <w:panose1 w:val="00000000000000000000"/>
    <w:charset w:val="86"/>
    <w:family w:val="auto"/>
    <w:pitch w:val="default"/>
    <w:sig w:usb0="00000000" w:usb1="00000000" w:usb2="00000000" w:usb3="00000000" w:csb0="00000000" w:csb1="00000000"/>
  </w:font>
  <w:font w:name="Segoe Print">
    <w:panose1 w:val="02000600000000000000"/>
    <w:charset w:val="51"/>
    <w:family w:val="roman"/>
    <w:pitch w:val="default"/>
    <w:sig w:usb0="0000028F" w:usb1="00000000" w:usb2="00000000" w:usb3="00000000" w:csb0="2000009F" w:csb1="47010000"/>
  </w:font>
  <w:font w:name="Microsoft YaHei UI Light">
    <w:panose1 w:val="020B0502040204020203"/>
    <w:charset w:val="51"/>
    <w:family w:val="auto"/>
    <w:pitch w:val="default"/>
    <w:sig w:usb0="A00002BF" w:usb1="28CF0010" w:usb2="00000016" w:usb3="00000000" w:csb0="0004000F" w:csb1="00000000"/>
  </w:font>
  <w:font w:name="Sitka Text">
    <w:panose1 w:val="02000505000000020004"/>
    <w:charset w:val="51"/>
    <w:family w:val="auto"/>
    <w:pitch w:val="default"/>
    <w:sig w:usb0="A00002EF" w:usb1="4000204B" w:usb2="00000000" w:usb3="00000000" w:csb0="2000019F"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libri">
    <w:panose1 w:val="020F0502020204030204"/>
    <w:charset w:val="86"/>
    <w:family w:val="swiss"/>
    <w:pitch w:val="default"/>
    <w:sig w:usb0="E00002FF" w:usb1="4000ACFF" w:usb2="00000001"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Heiti SC Light">
    <w:altName w:val="微软雅黑"/>
    <w:panose1 w:val="00000000000000000000"/>
    <w:charset w:val="50"/>
    <w:family w:val="auto"/>
    <w:pitch w:val="default"/>
    <w:sig w:usb0="00000000" w:usb1="00000000" w:usb2="00000010" w:usb3="00000000" w:csb0="003E0000"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Malgun Gothic Semilight">
    <w:panose1 w:val="020B0502040204020203"/>
    <w:charset w:val="86"/>
    <w:family w:val="auto"/>
    <w:pitch w:val="default"/>
    <w:sig w:usb0="900002AF" w:usb1="01D77CFB" w:usb2="00000012" w:usb3="00000000" w:csb0="203E01BD" w:csb1="D7FF0000"/>
  </w:font>
  <w:font w:name="Trebuchet MS">
    <w:panose1 w:val="020B0603020202020204"/>
    <w:charset w:val="00"/>
    <w:family w:val="auto"/>
    <w:pitch w:val="default"/>
    <w:sig w:usb0="00000687" w:usb1="00000000" w:usb2="00000000" w:usb3="00000000" w:csb0="2000009F" w:csb1="00000000"/>
  </w:font>
  <w:font w:name="Papyrus">
    <w:panose1 w:val="03070502060502030205"/>
    <w:charset w:val="00"/>
    <w:family w:val="auto"/>
    <w:pitch w:val="default"/>
    <w:sig w:usb0="00000003" w:usb1="00000000" w:usb2="00000000" w:usb3="00000000" w:csb0="20000001" w:csb1="00000000"/>
  </w:font>
  <w:font w:name="Genericon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urier 10 Pitch">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jw-icons">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EucrosiaUPC">
    <w:altName w:val="Microsoft Sans Serif"/>
    <w:panose1 w:val="02020603050405020304"/>
    <w:charset w:val="00"/>
    <w:family w:val="roman"/>
    <w:pitch w:val="default"/>
    <w:sig w:usb0="00000000" w:usb1="00000000" w:usb2="00000000" w:usb3="00000000" w:csb0="00010001" w:csb1="00000000"/>
  </w:font>
  <w:font w:name="Angsana New">
    <w:altName w:val="Microsoft Sans Serif"/>
    <w:panose1 w:val="02020603050405020304"/>
    <w:charset w:val="00"/>
    <w:family w:val="roman"/>
    <w:pitch w:val="default"/>
    <w:sig w:usb0="00000000" w:usb1="00000000" w:usb2="00000000" w:usb3="00000000" w:csb0="00010001"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A00002BF" w:usb1="68C7FCFB" w:usb2="00000010" w:usb3="00000000" w:csb0="4002009F" w:csb1="DFD70000"/>
  </w:font>
  <w:font w:name="TH SarabunPSK">
    <w:altName w:val="Arial Unicode MS"/>
    <w:panose1 w:val="00000000000000000000"/>
    <w:charset w:val="00"/>
    <w:family w:val="swiss"/>
    <w:pitch w:val="default"/>
    <w:sig w:usb0="00000000" w:usb1="00000000" w:usb2="00000000" w:usb3="00000000" w:csb0="00010183"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1002EFF" w:usb1="C000605B" w:usb2="00000029" w:usb3="00000000" w:csb0="200101FF" w:csb1="20280000"/>
  </w:font>
  <w:font w:name="Arial Unicode MS">
    <w:panose1 w:val="020B0604020202020204"/>
    <w:charset w:val="4E"/>
    <w:family w:val="auto"/>
    <w:pitch w:val="default"/>
    <w:sig w:usb0="FFFFFFFF" w:usb1="E9FFFFFF" w:usb2="0000003F" w:usb3="00000000" w:csb0="603F01FF" w:csb1="FFFF0000"/>
  </w:font>
  <w:font w:name="Microsoft YaHei UI Light">
    <w:panose1 w:val="020B0502040204020203"/>
    <w:charset w:val="50"/>
    <w:family w:val="auto"/>
    <w:pitch w:val="default"/>
    <w:sig w:usb0="A00002BF" w:usb1="28CF0010" w:usb2="00000016" w:usb3="00000000" w:csb0="0004000F" w:csb1="00000000"/>
  </w:font>
  <w:font w:name="华文细黑">
    <w:panose1 w:val="02010600040101010101"/>
    <w:charset w:val="50"/>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E86CA"/>
    <w:multiLevelType w:val="singleLevel"/>
    <w:tmpl w:val="58BE86CA"/>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B0CAC"/>
    <w:rsid w:val="0C7F39C5"/>
    <w:rsid w:val="0D8A5237"/>
    <w:rsid w:val="1BDA549F"/>
    <w:rsid w:val="23AA330F"/>
    <w:rsid w:val="23B62B40"/>
    <w:rsid w:val="246C59FB"/>
    <w:rsid w:val="27874E3D"/>
    <w:rsid w:val="2F452DC2"/>
    <w:rsid w:val="2FA71268"/>
    <w:rsid w:val="3A3F0AD9"/>
    <w:rsid w:val="3DAE3277"/>
    <w:rsid w:val="3E62339C"/>
    <w:rsid w:val="403A52BB"/>
    <w:rsid w:val="40C15AC0"/>
    <w:rsid w:val="43D5549B"/>
    <w:rsid w:val="46F508F3"/>
    <w:rsid w:val="488350BB"/>
    <w:rsid w:val="4E91247D"/>
    <w:rsid w:val="4EA26A1C"/>
    <w:rsid w:val="4F6852BF"/>
    <w:rsid w:val="53EA0FF1"/>
    <w:rsid w:val="5F8778A8"/>
    <w:rsid w:val="65A61D64"/>
    <w:rsid w:val="67E017B6"/>
    <w:rsid w:val="68CC1034"/>
    <w:rsid w:val="6D134079"/>
    <w:rsid w:val="6E234FBD"/>
    <w:rsid w:val="6ECA58EC"/>
    <w:rsid w:val="740D33DA"/>
    <w:rsid w:val="7E474D4D"/>
    <w:rsid w:val="7E4B0C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pPr>
    <w:rPr>
      <w:rFonts w:ascii="Arial" w:hAnsi="Arial" w:cs="Arial" w:eastAsiaTheme="minorEastAsia"/>
      <w:color w:val="000000"/>
      <w:sz w:val="22"/>
      <w:szCs w:val="22"/>
      <w:lang w:val="en-US" w:eastAsia="zh-HK"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line="240" w:lineRule="auto"/>
    </w:pPr>
    <w:rPr>
      <w:rFonts w:ascii="Times" w:hAnsi="Times" w:cs="Times New Roman"/>
      <w:color w:val="auto"/>
      <w:sz w:val="20"/>
      <w:szCs w:val="20"/>
      <w:lang w:eastAsia="zh-CN"/>
    </w:rPr>
  </w:style>
  <w:style w:type="character" w:styleId="6">
    <w:name w:val="FollowedHyperlink"/>
    <w:basedOn w:val="5"/>
    <w:qFormat/>
    <w:uiPriority w:val="0"/>
    <w:rPr>
      <w:color w:val="800080"/>
      <w:u w:val="single"/>
    </w:rPr>
  </w:style>
  <w:style w:type="character" w:styleId="7">
    <w:name w:val="Emphasis"/>
    <w:basedOn w:val="5"/>
    <w:qFormat/>
    <w:uiPriority w:val="0"/>
    <w:rPr>
      <w:color w:val="DD4B39"/>
    </w:rPr>
  </w:style>
  <w:style w:type="character" w:styleId="8">
    <w:name w:val="Hyperlink"/>
    <w:basedOn w:val="5"/>
    <w:qFormat/>
    <w:uiPriority w:val="0"/>
    <w:rPr>
      <w:color w:val="1A0DAB"/>
    </w:rPr>
  </w:style>
  <w:style w:type="paragraph" w:customStyle="1" w:styleId="10">
    <w:name w:val="normal"/>
    <w:qFormat/>
    <w:uiPriority w:val="0"/>
    <w:pPr>
      <w:spacing w:line="276" w:lineRule="auto"/>
    </w:pPr>
    <w:rPr>
      <w:rFonts w:ascii="Arial" w:hAnsi="Arial" w:cs="Arial" w:eastAsiaTheme="minorEastAsia"/>
      <w:color w:val="000000"/>
      <w:sz w:val="22"/>
      <w:szCs w:val="22"/>
      <w:lang w:val="en-US" w:eastAsia="zh-HK"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2017-03-23T07:21:00Z</dcterms:created>
  <dc:creator>INVO</dc:creator>
  <cp:lastModifiedBy>lenovo</cp:lastModifiedBy>
  <cp:lastPrinted>2017-09-09T09:37:00Z</cp:lastPrinted>
  <dcterms:modified xsi:type="dcterms:W3CDTF">2017-09-19T07:53:04Z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